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pacing w:line="360" w:lineRule="auto"/>
        <w:jc w:val="center"/>
        <w:outlineLvl w:val="1"/>
        <w:rPr>
          <w:rFonts w:hint="eastAsia" w:ascii="宋体" w:hAnsi="宋体" w:cs="宋体"/>
          <w:b/>
          <w:sz w:val="36"/>
          <w:szCs w:val="36"/>
        </w:rPr>
      </w:pPr>
      <w:r>
        <w:rPr>
          <w:rFonts w:hint="eastAsia" w:ascii="宋体" w:hAnsi="宋体" w:cs="宋体"/>
          <w:b/>
          <w:sz w:val="36"/>
          <w:szCs w:val="36"/>
        </w:rPr>
        <w:t>广州医科大学附属中医医院2026年至2028年</w:t>
      </w:r>
    </w:p>
    <w:p>
      <w:pPr>
        <w:pStyle w:val="31"/>
        <w:spacing w:line="360" w:lineRule="auto"/>
        <w:jc w:val="center"/>
        <w:outlineLvl w:val="1"/>
        <w:rPr>
          <w:rFonts w:hint="eastAsia" w:ascii="宋体" w:hAnsi="宋体" w:cs="宋体"/>
          <w:b/>
          <w:sz w:val="36"/>
          <w:szCs w:val="36"/>
        </w:rPr>
      </w:pPr>
      <w:r>
        <w:rPr>
          <w:rFonts w:hint="eastAsia" w:ascii="宋体" w:hAnsi="宋体" w:cs="宋体"/>
          <w:b/>
          <w:sz w:val="36"/>
          <w:szCs w:val="36"/>
        </w:rPr>
        <w:t>绿化服务项目采购需求</w:t>
      </w:r>
    </w:p>
    <w:p>
      <w:pPr>
        <w:spacing w:line="360" w:lineRule="auto"/>
        <w:ind w:firstLine="600" w:firstLineChars="200"/>
        <w:rPr>
          <w:rFonts w:hint="eastAsia" w:ascii="仿宋" w:hAnsi="仿宋" w:eastAsia="仿宋" w:cs="仿宋"/>
          <w:sz w:val="30"/>
          <w:szCs w:val="30"/>
        </w:rPr>
      </w:pPr>
    </w:p>
    <w:p>
      <w:pPr>
        <w:spacing w:line="360" w:lineRule="auto"/>
        <w:ind w:firstLine="708" w:firstLineChars="235"/>
        <w:rPr>
          <w:rFonts w:hint="eastAsia" w:ascii="仿宋" w:hAnsi="仿宋" w:eastAsia="仿宋" w:cs="仿宋"/>
          <w:b/>
          <w:bCs/>
          <w:sz w:val="30"/>
          <w:szCs w:val="30"/>
        </w:rPr>
      </w:pPr>
      <w:r>
        <w:rPr>
          <w:rFonts w:hint="eastAsia" w:ascii="仿宋" w:hAnsi="仿宋" w:eastAsia="仿宋" w:cs="仿宋"/>
          <w:b/>
          <w:bCs/>
          <w:sz w:val="30"/>
          <w:szCs w:val="30"/>
          <w:lang w:bidi="ar"/>
        </w:rPr>
        <w:t>一、项目概况</w:t>
      </w:r>
    </w:p>
    <w:p>
      <w:pPr>
        <w:pStyle w:val="31"/>
        <w:spacing w:line="360" w:lineRule="auto"/>
        <w:ind w:firstLine="708" w:firstLineChars="235"/>
        <w:jc w:val="both"/>
        <w:rPr>
          <w:rFonts w:hint="eastAsia" w:ascii="仿宋" w:hAnsi="仿宋" w:eastAsia="仿宋" w:cs="仿宋"/>
          <w:sz w:val="30"/>
          <w:szCs w:val="30"/>
        </w:rPr>
      </w:pPr>
      <w:r>
        <w:rPr>
          <w:rFonts w:hint="eastAsia" w:ascii="仿宋" w:hAnsi="仿宋" w:eastAsia="仿宋" w:cs="仿宋"/>
          <w:b/>
          <w:bCs/>
          <w:sz w:val="30"/>
          <w:szCs w:val="30"/>
        </w:rPr>
        <w:t>（一）项目名称：</w:t>
      </w:r>
      <w:r>
        <w:rPr>
          <w:rFonts w:hint="eastAsia" w:ascii="仿宋" w:hAnsi="仿宋" w:eastAsia="仿宋" w:cs="仿宋"/>
          <w:sz w:val="30"/>
          <w:szCs w:val="30"/>
        </w:rPr>
        <w:t>广州医科大学附属中医医院2026年至2028年绿化服务项目</w:t>
      </w:r>
    </w:p>
    <w:p>
      <w:pPr>
        <w:pStyle w:val="11"/>
        <w:widowControl/>
        <w:spacing w:beforeAutospacing="0" w:afterAutospacing="0" w:line="360" w:lineRule="auto"/>
        <w:ind w:firstLine="708" w:firstLineChars="235"/>
        <w:jc w:val="both"/>
        <w:rPr>
          <w:rFonts w:hint="eastAsia" w:ascii="仿宋" w:hAnsi="仿宋" w:eastAsia="仿宋" w:cs="仿宋"/>
          <w:b/>
          <w:bCs/>
          <w:color w:val="333333"/>
          <w:sz w:val="30"/>
          <w:szCs w:val="30"/>
        </w:rPr>
      </w:pPr>
      <w:r>
        <w:rPr>
          <w:rFonts w:hint="eastAsia" w:ascii="仿宋" w:hAnsi="仿宋" w:eastAsia="仿宋" w:cs="仿宋"/>
          <w:b/>
          <w:bCs/>
          <w:color w:val="333333"/>
          <w:sz w:val="30"/>
          <w:szCs w:val="30"/>
        </w:rPr>
        <w:t>（二）服务地点</w:t>
      </w:r>
    </w:p>
    <w:p>
      <w:pPr>
        <w:pStyle w:val="11"/>
        <w:widowControl/>
        <w:spacing w:beforeAutospacing="0" w:afterAutospacing="0" w:line="360" w:lineRule="auto"/>
        <w:ind w:firstLine="705" w:firstLineChars="235"/>
        <w:jc w:val="both"/>
        <w:rPr>
          <w:rStyle w:val="17"/>
          <w:rFonts w:hint="eastAsia" w:ascii="仿宋" w:hAnsi="仿宋" w:eastAsia="仿宋" w:cs="仿宋"/>
          <w:b w:val="0"/>
          <w:color w:val="333333"/>
          <w:sz w:val="30"/>
          <w:szCs w:val="30"/>
        </w:rPr>
      </w:pPr>
      <w:r>
        <w:rPr>
          <w:rStyle w:val="17"/>
          <w:rFonts w:hint="eastAsia" w:ascii="仿宋" w:hAnsi="仿宋" w:eastAsia="仿宋" w:cs="仿宋"/>
          <w:b w:val="0"/>
          <w:color w:val="333333"/>
          <w:sz w:val="30"/>
          <w:szCs w:val="30"/>
        </w:rPr>
        <w:t>1.天河院区（广州市天河区天坤三路95号）</w:t>
      </w:r>
    </w:p>
    <w:p>
      <w:pPr>
        <w:pStyle w:val="11"/>
        <w:widowControl/>
        <w:spacing w:beforeAutospacing="0" w:afterAutospacing="0" w:line="360" w:lineRule="auto"/>
        <w:ind w:firstLine="705" w:firstLineChars="235"/>
        <w:jc w:val="both"/>
        <w:rPr>
          <w:rStyle w:val="17"/>
          <w:rFonts w:hint="eastAsia" w:ascii="仿宋" w:hAnsi="仿宋" w:eastAsia="仿宋" w:cs="仿宋"/>
          <w:b w:val="0"/>
          <w:color w:val="333333"/>
          <w:sz w:val="30"/>
          <w:szCs w:val="30"/>
        </w:rPr>
      </w:pPr>
      <w:r>
        <w:rPr>
          <w:rStyle w:val="17"/>
          <w:rFonts w:hint="eastAsia" w:ascii="仿宋" w:hAnsi="仿宋" w:eastAsia="仿宋" w:cs="仿宋"/>
          <w:b w:val="0"/>
          <w:color w:val="333333"/>
          <w:sz w:val="30"/>
          <w:szCs w:val="30"/>
        </w:rPr>
        <w:t>2.珠玑院区（广州市荔湾区珠玑路16号）</w:t>
      </w:r>
    </w:p>
    <w:p>
      <w:pPr>
        <w:pStyle w:val="11"/>
        <w:widowControl/>
        <w:spacing w:beforeAutospacing="0" w:afterAutospacing="0" w:line="360" w:lineRule="auto"/>
        <w:ind w:firstLine="705" w:firstLineChars="235"/>
        <w:jc w:val="both"/>
        <w:rPr>
          <w:rStyle w:val="17"/>
          <w:rFonts w:hint="eastAsia" w:ascii="仿宋" w:hAnsi="仿宋" w:eastAsia="仿宋" w:cs="仿宋"/>
          <w:b w:val="0"/>
          <w:color w:val="333333"/>
          <w:sz w:val="30"/>
          <w:szCs w:val="30"/>
        </w:rPr>
      </w:pPr>
      <w:r>
        <w:rPr>
          <w:rStyle w:val="17"/>
          <w:rFonts w:hint="eastAsia" w:ascii="仿宋" w:hAnsi="仿宋" w:eastAsia="仿宋" w:cs="仿宋"/>
          <w:b w:val="0"/>
          <w:color w:val="333333"/>
          <w:sz w:val="30"/>
          <w:szCs w:val="30"/>
        </w:rPr>
        <w:t>3.同德院区（广州市白云区横滘二路81号）</w:t>
      </w:r>
    </w:p>
    <w:p>
      <w:pPr>
        <w:pStyle w:val="11"/>
        <w:widowControl/>
        <w:spacing w:beforeAutospacing="0" w:afterAutospacing="0" w:line="360" w:lineRule="auto"/>
        <w:ind w:firstLine="705" w:firstLineChars="235"/>
        <w:jc w:val="both"/>
        <w:rPr>
          <w:rStyle w:val="17"/>
          <w:rFonts w:hint="eastAsia" w:ascii="仿宋" w:hAnsi="仿宋" w:eastAsia="仿宋" w:cs="仿宋"/>
          <w:b w:val="0"/>
          <w:color w:val="333333"/>
          <w:sz w:val="30"/>
          <w:szCs w:val="30"/>
        </w:rPr>
      </w:pPr>
      <w:r>
        <w:rPr>
          <w:rStyle w:val="17"/>
          <w:rFonts w:hint="eastAsia" w:ascii="仿宋" w:hAnsi="仿宋" w:eastAsia="仿宋" w:cs="仿宋"/>
          <w:b w:val="0"/>
          <w:color w:val="333333"/>
          <w:sz w:val="30"/>
          <w:szCs w:val="30"/>
        </w:rPr>
        <w:t>4.同德综合门诊（广州市白云区横滘二路27号）</w:t>
      </w:r>
    </w:p>
    <w:p>
      <w:pPr>
        <w:pStyle w:val="11"/>
        <w:widowControl/>
        <w:spacing w:beforeAutospacing="0" w:afterAutospacing="0" w:line="360" w:lineRule="auto"/>
        <w:ind w:firstLine="705" w:firstLineChars="235"/>
        <w:jc w:val="both"/>
        <w:rPr>
          <w:rStyle w:val="17"/>
          <w:rFonts w:hint="eastAsia" w:ascii="仿宋" w:hAnsi="仿宋" w:eastAsia="仿宋" w:cs="仿宋"/>
          <w:b w:val="0"/>
          <w:color w:val="333333"/>
          <w:sz w:val="30"/>
          <w:szCs w:val="30"/>
        </w:rPr>
      </w:pPr>
      <w:r>
        <w:rPr>
          <w:rStyle w:val="17"/>
          <w:rFonts w:hint="eastAsia" w:ascii="仿宋" w:hAnsi="仿宋" w:eastAsia="仿宋" w:cs="仿宋"/>
          <w:b w:val="0"/>
          <w:color w:val="333333"/>
          <w:sz w:val="30"/>
          <w:szCs w:val="30"/>
        </w:rPr>
        <w:t>5.五羊门诊（广州市越秀区寺右北三街二巷1号）</w:t>
      </w:r>
    </w:p>
    <w:p>
      <w:pPr>
        <w:pStyle w:val="11"/>
        <w:widowControl/>
        <w:spacing w:beforeAutospacing="0" w:afterAutospacing="0" w:line="360" w:lineRule="auto"/>
        <w:ind w:firstLine="705" w:firstLineChars="235"/>
        <w:jc w:val="both"/>
        <w:rPr>
          <w:rStyle w:val="17"/>
          <w:rFonts w:hint="eastAsia" w:ascii="仿宋" w:hAnsi="仿宋" w:eastAsia="仿宋" w:cs="仿宋"/>
          <w:b w:val="0"/>
          <w:color w:val="333333"/>
          <w:sz w:val="30"/>
          <w:szCs w:val="30"/>
        </w:rPr>
      </w:pPr>
      <w:r>
        <w:rPr>
          <w:rStyle w:val="17"/>
          <w:rFonts w:hint="eastAsia" w:ascii="仿宋" w:hAnsi="仿宋" w:eastAsia="仿宋" w:cs="仿宋"/>
          <w:b w:val="0"/>
          <w:color w:val="333333"/>
          <w:sz w:val="30"/>
          <w:szCs w:val="30"/>
        </w:rPr>
        <w:t>6.潭岗制剂楼（广州市白云区大基路370号）</w:t>
      </w:r>
    </w:p>
    <w:p>
      <w:pPr>
        <w:pStyle w:val="11"/>
        <w:widowControl/>
        <w:spacing w:beforeAutospacing="0" w:afterAutospacing="0" w:line="360" w:lineRule="auto"/>
        <w:ind w:firstLine="602" w:firstLineChars="200"/>
        <w:jc w:val="both"/>
        <w:rPr>
          <w:rFonts w:hint="eastAsia" w:ascii="仿宋" w:hAnsi="仿宋" w:eastAsia="仿宋" w:cs="仿宋"/>
          <w:bCs/>
          <w:color w:val="333333"/>
          <w:sz w:val="30"/>
          <w:szCs w:val="30"/>
        </w:rPr>
      </w:pPr>
      <w:r>
        <w:rPr>
          <w:rStyle w:val="17"/>
          <w:rFonts w:hint="eastAsia" w:ascii="仿宋" w:hAnsi="仿宋" w:eastAsia="仿宋" w:cs="仿宋"/>
          <w:bCs/>
          <w:color w:val="333333"/>
          <w:sz w:val="30"/>
          <w:szCs w:val="30"/>
        </w:rPr>
        <w:t>（三）服务时长：</w:t>
      </w:r>
      <w:r>
        <w:rPr>
          <w:rFonts w:hint="eastAsia" w:ascii="仿宋" w:hAnsi="仿宋" w:eastAsia="仿宋" w:cs="仿宋"/>
          <w:kern w:val="2"/>
          <w:sz w:val="30"/>
          <w:szCs w:val="30"/>
        </w:rPr>
        <w:t>合同签订后，中标人收到采购人书面“进场通知”之日起24个月。</w:t>
      </w:r>
    </w:p>
    <w:p>
      <w:pPr>
        <w:pStyle w:val="31"/>
        <w:spacing w:line="360" w:lineRule="auto"/>
        <w:ind w:firstLine="602" w:firstLineChars="200"/>
        <w:jc w:val="both"/>
        <w:rPr>
          <w:rFonts w:hint="eastAsia" w:ascii="仿宋" w:hAnsi="仿宋" w:eastAsia="仿宋" w:cs="仿宋"/>
          <w:sz w:val="30"/>
          <w:szCs w:val="30"/>
        </w:rPr>
      </w:pPr>
      <w:r>
        <w:rPr>
          <w:rFonts w:hint="eastAsia" w:ascii="仿宋" w:hAnsi="仿宋" w:eastAsia="仿宋" w:cs="仿宋"/>
          <w:b/>
          <w:bCs/>
          <w:sz w:val="30"/>
          <w:szCs w:val="30"/>
        </w:rPr>
        <w:t>（四）项目属性：</w:t>
      </w:r>
      <w:r>
        <w:rPr>
          <w:rFonts w:hint="eastAsia" w:ascii="仿宋" w:hAnsi="仿宋" w:eastAsia="仿宋" w:cs="仿宋"/>
          <w:kern w:val="2"/>
          <w:sz w:val="30"/>
          <w:szCs w:val="30"/>
        </w:rPr>
        <w:t>服务类</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w:t>
      </w:r>
      <w:r>
        <w:rPr>
          <w:rFonts w:hint="eastAsia" w:ascii="仿宋" w:hAnsi="仿宋" w:eastAsia="仿宋" w:cs="仿宋"/>
          <w:b/>
          <w:bCs/>
          <w:sz w:val="30"/>
          <w:szCs w:val="30"/>
          <w:lang w:bidi="ar"/>
        </w:rPr>
        <w:t>总体服务内容</w:t>
      </w:r>
    </w:p>
    <w:p>
      <w:pPr>
        <w:pStyle w:val="31"/>
        <w:numPr>
          <w:ilvl w:val="0"/>
          <w:numId w:val="1"/>
        </w:numPr>
        <w:spacing w:line="360" w:lineRule="auto"/>
        <w:ind w:left="426" w:firstLine="0"/>
        <w:jc w:val="both"/>
        <w:rPr>
          <w:rFonts w:hint="eastAsia" w:ascii="仿宋" w:hAnsi="仿宋" w:eastAsia="仿宋" w:cs="仿宋"/>
          <w:b/>
          <w:bCs/>
          <w:sz w:val="30"/>
          <w:szCs w:val="30"/>
        </w:rPr>
      </w:pPr>
      <w:r>
        <w:rPr>
          <w:rFonts w:hint="eastAsia" w:ascii="仿宋" w:hAnsi="仿宋" w:eastAsia="仿宋" w:cs="仿宋"/>
          <w:b/>
          <w:bCs/>
          <w:sz w:val="30"/>
          <w:szCs w:val="30"/>
        </w:rPr>
        <w:t>室外养护</w:t>
      </w:r>
    </w:p>
    <w:p>
      <w:pPr>
        <w:pStyle w:val="31"/>
        <w:spacing w:line="360" w:lineRule="auto"/>
        <w:ind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rPr>
        <w:t>广州医科大学附属中医医院绿化养护管理是要求中标人依据广州市《园林绿化养护管理技术规范》（DB4401/T6-2018）养护标准对我院的园林绿化养护和园林绿地附属设施管理，即对绿地内植物采取整形修剪、松土除草、灌溉与排水、施肥、有害生物防治、改植与补植、绿地防护等技术措施及相应管理工作，以及对游憩、照明、标识牌、围栏、卫生、给水、排水以及轮灌系统等各类设施进行管理。由中标人包工、包料、包质量、包安全、包防治蛇虫害、包清洁与垃圾清运等。</w:t>
      </w:r>
    </w:p>
    <w:p>
      <w:pPr>
        <w:pStyle w:val="31"/>
        <w:spacing w:line="360" w:lineRule="auto"/>
        <w:ind w:firstLine="560"/>
        <w:jc w:val="both"/>
        <w:rPr>
          <w:rFonts w:hint="eastAsia" w:ascii="仿宋" w:hAnsi="仿宋" w:eastAsia="仿宋" w:cs="仿宋"/>
          <w:b/>
          <w:bCs/>
          <w:sz w:val="30"/>
          <w:szCs w:val="30"/>
        </w:rPr>
      </w:pPr>
      <w:r>
        <w:rPr>
          <w:rFonts w:hint="eastAsia" w:ascii="仿宋" w:hAnsi="仿宋" w:eastAsia="仿宋" w:cs="仿宋"/>
          <w:b/>
          <w:bCs/>
          <w:sz w:val="30"/>
          <w:szCs w:val="30"/>
        </w:rPr>
        <w:t>（三）租摆服务</w:t>
      </w:r>
    </w:p>
    <w:p>
      <w:pPr>
        <w:pStyle w:val="31"/>
        <w:spacing w:line="360" w:lineRule="auto"/>
        <w:ind w:firstLine="600" w:firstLineChars="200"/>
        <w:jc w:val="both"/>
        <w:rPr>
          <w:rFonts w:hint="eastAsia" w:ascii="仿宋" w:hAnsi="仿宋" w:eastAsia="仿宋" w:cs="仿宋"/>
          <w:kern w:val="2"/>
          <w:sz w:val="30"/>
          <w:szCs w:val="30"/>
        </w:rPr>
      </w:pPr>
      <w:r>
        <w:rPr>
          <w:rFonts w:hint="eastAsia" w:ascii="仿宋" w:hAnsi="仿宋" w:eastAsia="仿宋" w:cs="仿宋"/>
          <w:kern w:val="2"/>
          <w:sz w:val="30"/>
          <w:szCs w:val="30"/>
        </w:rPr>
        <w:t>是以包工、包料、包质量、包运输、包安全、包清洁与垃圾清运的方式实施租摆服务。绿化租摆、养护所需材料、成品、设备等均由投标人自行解决，必须符合有关养护技术规范、项目需求。</w:t>
      </w:r>
    </w:p>
    <w:p>
      <w:pPr>
        <w:numPr>
          <w:ilvl w:val="0"/>
          <w:numId w:val="2"/>
        </w:num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bidi="ar"/>
        </w:rPr>
        <w:t>技术要求</w:t>
      </w:r>
    </w:p>
    <w:p>
      <w:pPr>
        <w:spacing w:line="360" w:lineRule="auto"/>
        <w:ind w:left="562"/>
        <w:rPr>
          <w:rFonts w:hint="eastAsia" w:ascii="仿宋" w:hAnsi="仿宋" w:eastAsia="仿宋" w:cs="仿宋"/>
          <w:b/>
          <w:bCs/>
          <w:sz w:val="30"/>
          <w:szCs w:val="30"/>
        </w:rPr>
      </w:pPr>
      <w:r>
        <w:rPr>
          <w:rFonts w:hint="eastAsia" w:ascii="仿宋" w:hAnsi="仿宋" w:eastAsia="仿宋" w:cs="仿宋"/>
          <w:b/>
          <w:bCs/>
          <w:sz w:val="30"/>
          <w:szCs w:val="30"/>
          <w:lang w:bidi="ar"/>
        </w:rPr>
        <w:t>（一）服务人员要求</w:t>
      </w:r>
    </w:p>
    <w:p>
      <w:pPr>
        <w:pStyle w:val="31"/>
        <w:numPr>
          <w:ilvl w:val="0"/>
          <w:numId w:val="3"/>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人员配置要求，不少于6人。项目经理（可不驻场）1人。技术负责人（驻场）1人，驻场养护服务人员不少于4人，其中，天河院区不少于2人；珠玑院区、五羊门诊部不少于1人；同德院区、同德综合门诊部、制剂楼不少于1人。驻场养护人员不可同时兼任其他院区的养护人员。项目经理与技术负责人不可兼任，项目经理、技术负责人不可兼任养护人员。若需更换驻场人员，需经采购人同意。若擅自更换驻场人员，每一人次扣罚5000元。</w:t>
      </w:r>
    </w:p>
    <w:p>
      <w:pPr>
        <w:pStyle w:val="11"/>
        <w:widowControl/>
        <w:numPr>
          <w:ilvl w:val="0"/>
          <w:numId w:val="3"/>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sz w:val="30"/>
          <w:szCs w:val="30"/>
        </w:rPr>
        <w:t>★中标人应与服务人员建立劳动关系、签订劳动合同。服务人员与采购人产生劳动争议时，中标人承担一切法律责任，并赔偿采购人因此遭受的一切损失。中标人自行承担服务人员的一切人力成本费用，包括但不限于工资、奖金、社会保险、公积金、意外伤害险、重大疾病险，依法承担员工的安全保险责任，如发生工伤、疾病乃至死亡的一切责任及费用由中标人全部负责，</w:t>
      </w:r>
      <w:r>
        <w:rPr>
          <w:rFonts w:hint="eastAsia" w:ascii="仿宋" w:hAnsi="仿宋" w:eastAsia="仿宋" w:cs="仿宋"/>
          <w:color w:val="000000"/>
          <w:sz w:val="30"/>
          <w:szCs w:val="30"/>
        </w:rPr>
        <w:t>服务期间内发生的各种事故，包括治安、交通、防火等安全案件和劳资纠纷事件等，均由中标人承担相应责任。</w:t>
      </w:r>
    </w:p>
    <w:p>
      <w:pPr>
        <w:pStyle w:val="31"/>
        <w:numPr>
          <w:ilvl w:val="0"/>
          <w:numId w:val="3"/>
        </w:numPr>
        <w:spacing w:line="360" w:lineRule="auto"/>
        <w:ind w:firstLine="600" w:firstLineChars="200"/>
        <w:jc w:val="both"/>
        <w:rPr>
          <w:rFonts w:hint="eastAsia" w:ascii="仿宋" w:hAnsi="仿宋" w:eastAsia="仿宋" w:cs="仿宋"/>
          <w:b/>
          <w:sz w:val="30"/>
          <w:szCs w:val="30"/>
          <w:u w:val="single"/>
        </w:rPr>
      </w:pPr>
      <w:r>
        <w:rPr>
          <w:rFonts w:hint="eastAsia" w:ascii="仿宋" w:hAnsi="仿宋" w:eastAsia="仿宋" w:cs="仿宋"/>
          <w:sz w:val="30"/>
          <w:szCs w:val="30"/>
        </w:rPr>
        <w:t>中标人应严格遵守国家有关的法律、法规及行业标准，如因中标人原因造成第三方损失的，一切责任及费用由中标人全部负责。</w:t>
      </w:r>
    </w:p>
    <w:p>
      <w:pPr>
        <w:pStyle w:val="31"/>
        <w:numPr>
          <w:ilvl w:val="0"/>
          <w:numId w:val="3"/>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中标人应依法用工，投标时须承诺服务期内按服务区域所在地（广州市）劳动用工相关标准支付所有服务人员的劳动报酬，工资部分不得低于当地（广州市）最低工资标准。若合同期内广州市企业职工最低工资标准调整，中标人须相应调整，采购人支付给中标人的费用不因相关政策因素进行调整。</w:t>
      </w:r>
    </w:p>
    <w:p>
      <w:pPr>
        <w:pStyle w:val="31"/>
        <w:numPr>
          <w:ilvl w:val="0"/>
          <w:numId w:val="3"/>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sz w:val="30"/>
          <w:szCs w:val="30"/>
        </w:rPr>
        <w:t>★中标人应按照《中华人民共和国社会保险法》等的相关规定，支付国家规定必须购买的社会保险等费用。投标文件提供上述书面承诺函并加盖公章。</w:t>
      </w:r>
    </w:p>
    <w:p>
      <w:pPr>
        <w:pStyle w:val="11"/>
        <w:widowControl/>
        <w:numPr>
          <w:ilvl w:val="0"/>
          <w:numId w:val="3"/>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sz w:val="30"/>
          <w:szCs w:val="30"/>
        </w:rPr>
        <w:t>★驻场养护服务人员</w:t>
      </w:r>
      <w:r>
        <w:rPr>
          <w:rFonts w:hint="eastAsia" w:ascii="仿宋" w:hAnsi="仿宋" w:eastAsia="仿宋" w:cs="仿宋"/>
          <w:color w:val="000000"/>
          <w:sz w:val="30"/>
          <w:szCs w:val="30"/>
        </w:rPr>
        <w:t>上岗前须接受岗前培训，上班时间为周一至周日，7：30～11：30，14:30～17：30。可根据实际情况调整上班时间，但须采购人认可。要求统一着工衣，按照采购人的规定佩带工卡，遵守医院规章制度，不得吸烟，态度和蔼，文明作业，自觉劳作，按时上岗，不擅自离岗，认真完成工作安排。项目经理每月不少于两次的现场质量监管，并提交书面的监管情况报告。</w:t>
      </w:r>
    </w:p>
    <w:p>
      <w:pPr>
        <w:pStyle w:val="11"/>
        <w:widowControl/>
        <w:numPr>
          <w:ilvl w:val="0"/>
          <w:numId w:val="3"/>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项目人员应保持相对稳定，如有变动需提前通知采购人，并做好交接工作。所有工作人员必须遵守采购人的管理规定和各项规章制度，若出现违法违纪现象或管理不力，采购人有权要求更换人员，中标人需一周内作出换人处理，否则按缺员处理，并根据情节轻重扣罚服务费。对违反劳动纪律或工作责任心不强、工作效率低的人员，采购人有权建议中标人更换人员。</w:t>
      </w:r>
    </w:p>
    <w:p>
      <w:pPr>
        <w:pStyle w:val="11"/>
        <w:widowControl/>
        <w:numPr>
          <w:ilvl w:val="0"/>
          <w:numId w:val="3"/>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color w:val="000000"/>
          <w:sz w:val="30"/>
          <w:szCs w:val="30"/>
        </w:rPr>
        <w:t>中标人施工结束时，凡是施工时被破坏的公物和其它基础设施均需按原状恢复。中标人必须切实做好安全工作，加强作业时的安全保障，一切安全事故均由中标人全部负责处理及赔偿。</w:t>
      </w:r>
    </w:p>
    <w:p>
      <w:pPr>
        <w:pStyle w:val="11"/>
        <w:widowControl/>
        <w:numPr>
          <w:ilvl w:val="0"/>
          <w:numId w:val="3"/>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采购人按照中标人养护工作计划和最低服务人员数量等标准对中标人服务人员到位情况进行定期和不定期抽查，服务人员对比计划每少1名养护人员的每次扣1000元。</w:t>
      </w:r>
    </w:p>
    <w:p>
      <w:pPr>
        <w:pStyle w:val="11"/>
        <w:widowControl/>
        <w:numPr>
          <w:ilvl w:val="0"/>
          <w:numId w:val="3"/>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color w:val="000000"/>
          <w:sz w:val="30"/>
          <w:szCs w:val="30"/>
        </w:rPr>
        <w:t>中标人要确保一线服务人员的稳定，如需更换项目经理和现场负责人必须书面征得采购人同意，中标人不得以通过不正当手法频繁更换人员获取利益。如遇突发抢险情况或应急检查，中标人应无条件服从采购人安排（包括人力、机械设备等的增加和调动）。</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bidi="ar"/>
        </w:rPr>
        <w:t>（二）设备、用房及其他要求</w:t>
      </w:r>
    </w:p>
    <w:p>
      <w:pPr>
        <w:pStyle w:val="11"/>
        <w:widowControl/>
        <w:spacing w:line="360" w:lineRule="auto"/>
        <w:ind w:firstLine="900" w:firstLineChars="300"/>
        <w:jc w:val="both"/>
        <w:rPr>
          <w:rFonts w:hint="eastAsia" w:ascii="仿宋" w:hAnsi="仿宋" w:eastAsia="仿宋" w:cs="仿宋"/>
          <w:color w:val="000000"/>
          <w:sz w:val="30"/>
          <w:szCs w:val="30"/>
        </w:rPr>
      </w:pPr>
      <w:r>
        <w:rPr>
          <w:rFonts w:hint="eastAsia" w:ascii="仿宋" w:hAnsi="仿宋" w:eastAsia="仿宋" w:cs="仿宋"/>
          <w:sz w:val="30"/>
          <w:szCs w:val="30"/>
        </w:rPr>
        <w:t>★</w:t>
      </w:r>
      <w:r>
        <w:rPr>
          <w:rFonts w:hint="eastAsia" w:ascii="仿宋" w:hAnsi="仿宋" w:eastAsia="仿宋" w:cs="仿宋"/>
          <w:color w:val="000000"/>
          <w:sz w:val="30"/>
          <w:szCs w:val="30"/>
        </w:rPr>
        <w:t>中标人必须配备本项目服务所需的设备（包括但不限于）：货车1辆、剪草机2台、绿篱机1台、喷药机1台、割灌机（打边机）1台、高枝剪2把。承诺中标后提供相应设备，</w:t>
      </w:r>
    </w:p>
    <w:p>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为更好地完成本项目服务内容，采购人在条件允许的情况下，于合同生效之日起向中标人提供必要的工具房，供中标人在合同期内存放工具。中标人应确保工具房的使用安全。</w:t>
      </w:r>
    </w:p>
    <w:p>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采购人提供养护所需的水、电，中标人养护使用时应节约用水用电。</w:t>
      </w:r>
    </w:p>
    <w:p>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中标人应具备满足应急任务的苗木储备或生产供应的能力，并对绿化养护范围进行有效的病虫害、土壤检测。</w:t>
      </w:r>
    </w:p>
    <w:p>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中标人能持续对绿化植物进行营养检测跟踪，做好花期调控工作。</w:t>
      </w:r>
    </w:p>
    <w:p>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中标人具有园林植物病虫害防治能力，掌握一定的无公害防治措施。</w:t>
      </w:r>
    </w:p>
    <w:p>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中标人开展创新研发、逐步提高自动化、机械化，以及智慧化养护作业管理，提高绿化区域、绿地作业安全系数。</w:t>
      </w:r>
    </w:p>
    <w:p>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服务期满中标人未能继续获采购人绿化养护服务时，中标人要积极配合与下一服务单位交接，不得以任何方式阻碍交接，影响采购人正常工作。</w:t>
      </w:r>
    </w:p>
    <w:p>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中标人需配合采购人做好国家、省、市检查的迎检工作；如遇重大节日或重要活动，需加派人手及加强养护工作。</w:t>
      </w:r>
    </w:p>
    <w:p>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服务期间，采购人保留核查中标人投标文件及相关资料的权利，中标人应积极配合。如对所抽查的资料发现中标人有造假等行为的，即时解除合同并通报相关部门进行处罚。</w:t>
      </w:r>
    </w:p>
    <w:p>
      <w:pPr>
        <w:pStyle w:val="11"/>
        <w:widowControl/>
        <w:numPr>
          <w:ilvl w:val="0"/>
          <w:numId w:val="4"/>
        </w:numPr>
        <w:spacing w:line="360" w:lineRule="auto"/>
        <w:ind w:firstLine="600" w:firstLineChars="200"/>
        <w:jc w:val="both"/>
        <w:rPr>
          <w:rFonts w:ascii="仿宋" w:hAnsi="仿宋" w:eastAsia="仿宋" w:cs="仿宋"/>
          <w:color w:val="000000"/>
          <w:sz w:val="30"/>
          <w:szCs w:val="30"/>
        </w:rPr>
      </w:pPr>
      <w:r>
        <w:rPr>
          <w:rFonts w:hint="eastAsia" w:ascii="仿宋" w:hAnsi="仿宋" w:eastAsia="仿宋" w:cs="仿宋"/>
          <w:sz w:val="30"/>
          <w:szCs w:val="30"/>
        </w:rPr>
        <w:t>★</w:t>
      </w:r>
      <w:r>
        <w:rPr>
          <w:rFonts w:hint="eastAsia" w:ascii="仿宋" w:hAnsi="仿宋" w:eastAsia="仿宋" w:cs="仿宋"/>
          <w:color w:val="000000"/>
          <w:sz w:val="30"/>
          <w:szCs w:val="30"/>
        </w:rPr>
        <w:t>因采购人原因（楼宇、道路、管道等新建、改造等）或因自然灾害、不可抗力因素造成需要绿化补种（草坪、灌木、绿篱或花卉等）及树木的，草地复绿单块地块面积在200平方米（含）以内、树木补种按原品种原规格补种（单株乔木单价在10000元（含）以内的），由中标人包干按原种植植物规格（或不低于）进行草地复绿和绿化补种，相关一切费用均包含在投标总价内。单株乔木单价以采购人市场询价结果为准，中标人必须无条件承担相关费用。</w:t>
      </w:r>
    </w:p>
    <w:p>
      <w:pPr>
        <w:pStyle w:val="11"/>
        <w:widowControl/>
        <w:numPr>
          <w:ilvl w:val="0"/>
          <w:numId w:val="4"/>
        </w:numPr>
        <w:spacing w:line="360" w:lineRule="auto"/>
        <w:ind w:firstLine="600" w:firstLineChars="200"/>
        <w:jc w:val="both"/>
        <w:rPr>
          <w:rFonts w:hint="eastAsia" w:ascii="仿宋" w:hAnsi="仿宋" w:eastAsia="仿宋" w:cs="仿宋"/>
          <w:color w:val="000000"/>
          <w:sz w:val="30"/>
          <w:szCs w:val="30"/>
        </w:rPr>
      </w:pPr>
      <w:r>
        <w:rPr>
          <w:rFonts w:hint="eastAsia" w:ascii="仿宋" w:hAnsi="仿宋" w:eastAsia="仿宋" w:cs="仿宋"/>
          <w:color w:val="000000"/>
          <w:sz w:val="30"/>
          <w:szCs w:val="30"/>
        </w:rPr>
        <w:t>由中标人按原品种原规格进行补种，树木植物补种的一切费用（包括购买植物费用、运输费和人工费等）由中标人承担。绿化补种工作应在接到通知后1个月内完成，草地复绿需在一个月内完成。</w:t>
      </w:r>
    </w:p>
    <w:p>
      <w:pPr>
        <w:numPr>
          <w:ilvl w:val="0"/>
          <w:numId w:val="2"/>
        </w:num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bidi="ar"/>
        </w:rPr>
        <w:t>具体养护需求</w:t>
      </w:r>
    </w:p>
    <w:p>
      <w:pPr>
        <w:pStyle w:val="2"/>
        <w:numPr>
          <w:ilvl w:val="0"/>
          <w:numId w:val="5"/>
        </w:numPr>
        <w:spacing w:line="360" w:lineRule="auto"/>
        <w:ind w:firstLineChars="0"/>
        <w:rPr>
          <w:rFonts w:ascii="仿宋" w:hAnsi="仿宋" w:eastAsia="仿宋" w:cs="仿宋"/>
          <w:b/>
          <w:bCs/>
          <w:sz w:val="30"/>
          <w:szCs w:val="30"/>
          <w:lang w:bidi="ar"/>
        </w:rPr>
      </w:pPr>
      <w:r>
        <w:rPr>
          <w:rFonts w:hint="eastAsia" w:ascii="仿宋" w:hAnsi="仿宋" w:eastAsia="仿宋" w:cs="仿宋"/>
          <w:b/>
          <w:bCs/>
          <w:sz w:val="30"/>
          <w:szCs w:val="30"/>
          <w:lang w:bidi="ar"/>
        </w:rPr>
        <w:t>各院区绿植情况</w:t>
      </w:r>
    </w:p>
    <w:p>
      <w:pPr>
        <w:spacing w:line="360" w:lineRule="auto"/>
        <w:ind w:firstLine="567" w:firstLineChars="189"/>
        <w:rPr>
          <w:rFonts w:ascii="仿宋" w:hAnsi="仿宋" w:eastAsia="仿宋" w:cs="仿宋"/>
          <w:sz w:val="30"/>
          <w:szCs w:val="30"/>
          <w:lang w:bidi="ar"/>
        </w:rPr>
      </w:pPr>
      <w:r>
        <w:rPr>
          <w:rFonts w:hint="eastAsia" w:ascii="仿宋" w:hAnsi="仿宋" w:eastAsia="仿宋" w:cs="仿宋"/>
          <w:sz w:val="30"/>
          <w:szCs w:val="30"/>
          <w:lang w:bidi="ar"/>
        </w:rPr>
        <w:t>1、天河院区绿地面积19474.7m</w:t>
      </w:r>
      <w:r>
        <w:rPr>
          <w:rFonts w:ascii="Calibri" w:hAnsi="Calibri" w:eastAsia="仿宋" w:cs="Calibri"/>
          <w:sz w:val="30"/>
          <w:szCs w:val="30"/>
          <w:lang w:bidi="ar"/>
        </w:rPr>
        <w:t>²</w:t>
      </w:r>
      <w:r>
        <w:rPr>
          <w:rFonts w:hint="eastAsia" w:ascii="仿宋" w:hAnsi="仿宋" w:eastAsia="仿宋" w:cs="仿宋"/>
          <w:sz w:val="30"/>
          <w:szCs w:val="30"/>
          <w:lang w:bidi="ar"/>
        </w:rPr>
        <w:t>，地上停车位约113个，铺设了植草砖，车位约1375m</w:t>
      </w:r>
      <w:r>
        <w:rPr>
          <w:rFonts w:ascii="Calibri" w:hAnsi="Calibri" w:eastAsia="仿宋" w:cs="Calibri"/>
          <w:sz w:val="30"/>
          <w:szCs w:val="30"/>
          <w:lang w:bidi="ar"/>
        </w:rPr>
        <w:t>²</w:t>
      </w:r>
      <w:r>
        <w:rPr>
          <w:rFonts w:hint="eastAsia" w:ascii="仿宋" w:hAnsi="仿宋" w:eastAsia="仿宋" w:cs="仿宋"/>
          <w:sz w:val="30"/>
          <w:szCs w:val="30"/>
          <w:lang w:bidi="ar"/>
        </w:rPr>
        <w:t>。室外种植约</w:t>
      </w:r>
      <w:r>
        <w:rPr>
          <w:rFonts w:hint="eastAsia" w:ascii="仿宋" w:hAnsi="仿宋" w:eastAsia="仿宋" w:cs="仿宋"/>
          <w:sz w:val="30"/>
          <w:szCs w:val="30"/>
          <w:lang w:val="en-US" w:eastAsia="zh-CN" w:bidi="ar"/>
        </w:rPr>
        <w:t>534</w:t>
      </w:r>
      <w:r>
        <w:rPr>
          <w:rFonts w:hint="eastAsia" w:ascii="仿宋" w:hAnsi="仿宋" w:eastAsia="仿宋" w:cs="仿宋"/>
          <w:sz w:val="30"/>
          <w:szCs w:val="30"/>
          <w:lang w:bidi="ar"/>
        </w:rPr>
        <w:t>棵乔木，灌木面积约3077m</w:t>
      </w:r>
      <w:r>
        <w:rPr>
          <w:rFonts w:ascii="Calibri" w:hAnsi="Calibri" w:eastAsia="仿宋" w:cs="Calibri"/>
          <w:sz w:val="30"/>
          <w:szCs w:val="30"/>
          <w:lang w:bidi="ar"/>
        </w:rPr>
        <w:t>²</w:t>
      </w:r>
      <w:r>
        <w:rPr>
          <w:rFonts w:hint="eastAsia" w:ascii="仿宋" w:hAnsi="仿宋" w:eastAsia="仿宋" w:cs="仿宋"/>
          <w:sz w:val="30"/>
          <w:szCs w:val="30"/>
          <w:lang w:bidi="ar"/>
        </w:rPr>
        <w:t>，草皮面积约11079m</w:t>
      </w:r>
      <w:r>
        <w:rPr>
          <w:rFonts w:ascii="Calibri" w:hAnsi="Calibri" w:eastAsia="仿宋" w:cs="Calibri"/>
          <w:sz w:val="30"/>
          <w:szCs w:val="30"/>
          <w:lang w:bidi="ar"/>
        </w:rPr>
        <w:t>²</w:t>
      </w:r>
      <w:r>
        <w:rPr>
          <w:rFonts w:hint="eastAsia" w:ascii="仿宋" w:hAnsi="仿宋" w:eastAsia="仿宋" w:cs="仿宋"/>
          <w:sz w:val="30"/>
          <w:szCs w:val="30"/>
          <w:lang w:bidi="ar"/>
        </w:rPr>
        <w:t>。包含</w:t>
      </w:r>
      <w:r>
        <w:rPr>
          <w:rFonts w:hint="eastAsia" w:ascii="仿宋" w:hAnsi="仿宋" w:eastAsia="仿宋" w:cs="仿宋"/>
          <w:sz w:val="30"/>
          <w:szCs w:val="30"/>
        </w:rPr>
        <w:t>中药园占地约1592平方米，种植区域为940平方米。</w:t>
      </w:r>
      <w:r>
        <w:rPr>
          <w:rFonts w:ascii="仿宋" w:hAnsi="仿宋" w:eastAsia="仿宋" w:cs="仿宋"/>
          <w:sz w:val="30"/>
          <w:szCs w:val="30"/>
          <w:lang w:bidi="ar"/>
        </w:rPr>
        <w:br w:type="textWrapping"/>
      </w:r>
      <w:r>
        <w:rPr>
          <w:rFonts w:hint="eastAsia" w:ascii="仿宋" w:hAnsi="仿宋" w:eastAsia="仿宋" w:cs="仿宋"/>
          <w:sz w:val="30"/>
          <w:szCs w:val="30"/>
          <w:lang w:bidi="ar"/>
        </w:rPr>
        <w:t xml:space="preserve">    2、同德院区绿地面积约2500m</w:t>
      </w:r>
      <w:r>
        <w:rPr>
          <w:rFonts w:ascii="Calibri" w:hAnsi="Calibri" w:eastAsia="仿宋" w:cs="Calibri"/>
          <w:sz w:val="30"/>
          <w:szCs w:val="30"/>
          <w:lang w:bidi="ar"/>
        </w:rPr>
        <w:t>²</w:t>
      </w:r>
      <w:r>
        <w:rPr>
          <w:rFonts w:hint="eastAsia" w:ascii="仿宋" w:hAnsi="仿宋" w:eastAsia="仿宋" w:cs="仿宋"/>
          <w:sz w:val="30"/>
          <w:szCs w:val="30"/>
          <w:lang w:bidi="ar"/>
        </w:rPr>
        <w:t>，乔木</w:t>
      </w:r>
      <w:r>
        <w:rPr>
          <w:rFonts w:hint="eastAsia" w:ascii="仿宋" w:hAnsi="仿宋" w:eastAsia="仿宋" w:cs="仿宋"/>
          <w:sz w:val="30"/>
          <w:szCs w:val="30"/>
          <w:lang w:val="en-US" w:eastAsia="zh-CN" w:bidi="ar"/>
        </w:rPr>
        <w:t>81</w:t>
      </w:r>
      <w:r>
        <w:rPr>
          <w:rFonts w:hint="eastAsia" w:ascii="仿宋" w:hAnsi="仿宋" w:eastAsia="仿宋" w:cs="仿宋"/>
          <w:sz w:val="30"/>
          <w:szCs w:val="30"/>
          <w:lang w:bidi="ar"/>
        </w:rPr>
        <w:t>棵，灌木面积2208m</w:t>
      </w:r>
      <w:r>
        <w:rPr>
          <w:rFonts w:ascii="Calibri" w:hAnsi="Calibri" w:eastAsia="仿宋" w:cs="Calibri"/>
          <w:sz w:val="30"/>
          <w:szCs w:val="30"/>
          <w:lang w:bidi="ar"/>
        </w:rPr>
        <w:t>²</w:t>
      </w:r>
      <w:r>
        <w:rPr>
          <w:rFonts w:hint="eastAsia" w:ascii="仿宋" w:hAnsi="仿宋" w:eastAsia="仿宋" w:cs="仿宋"/>
          <w:sz w:val="30"/>
          <w:szCs w:val="30"/>
          <w:lang w:bidi="ar"/>
        </w:rPr>
        <w:t>。制剂楼种植面积约1</w:t>
      </w:r>
      <w:r>
        <w:rPr>
          <w:rFonts w:hint="eastAsia" w:ascii="仿宋" w:hAnsi="仿宋" w:eastAsia="仿宋" w:cs="仿宋"/>
          <w:sz w:val="30"/>
          <w:szCs w:val="30"/>
          <w:lang w:val="en-US" w:eastAsia="zh-CN" w:bidi="ar"/>
        </w:rPr>
        <w:t>098</w:t>
      </w:r>
      <w:r>
        <w:rPr>
          <w:rFonts w:hint="eastAsia" w:ascii="仿宋" w:hAnsi="仿宋" w:eastAsia="仿宋" w:cs="仿宋"/>
          <w:sz w:val="30"/>
          <w:szCs w:val="30"/>
          <w:lang w:bidi="ar"/>
        </w:rPr>
        <w:t>m</w:t>
      </w:r>
      <w:r>
        <w:rPr>
          <w:rFonts w:ascii="Calibri" w:hAnsi="Calibri" w:eastAsia="仿宋" w:cs="Calibri"/>
          <w:sz w:val="30"/>
          <w:szCs w:val="30"/>
          <w:lang w:bidi="ar"/>
        </w:rPr>
        <w:t>²</w:t>
      </w:r>
      <w:r>
        <w:rPr>
          <w:rFonts w:hint="eastAsia" w:ascii="Calibri" w:hAnsi="Calibri" w:eastAsia="仿宋" w:cs="Calibri"/>
          <w:sz w:val="30"/>
          <w:szCs w:val="30"/>
          <w:lang w:eastAsia="zh-CN" w:bidi="ar"/>
        </w:rPr>
        <w:t>，</w:t>
      </w:r>
      <w:r>
        <w:rPr>
          <w:rFonts w:hint="eastAsia" w:ascii="仿宋" w:hAnsi="仿宋" w:eastAsia="仿宋" w:cs="仿宋"/>
          <w:sz w:val="30"/>
          <w:szCs w:val="30"/>
          <w:lang w:bidi="ar"/>
        </w:rPr>
        <w:t>乔木</w:t>
      </w:r>
      <w:r>
        <w:rPr>
          <w:rFonts w:hint="eastAsia" w:ascii="仿宋" w:hAnsi="仿宋" w:eastAsia="仿宋" w:cs="仿宋"/>
          <w:sz w:val="30"/>
          <w:szCs w:val="30"/>
          <w:lang w:val="en-US" w:eastAsia="zh-CN" w:bidi="ar"/>
        </w:rPr>
        <w:t>4</w:t>
      </w:r>
      <w:r>
        <w:rPr>
          <w:rFonts w:hint="eastAsia" w:ascii="仿宋" w:hAnsi="仿宋" w:eastAsia="仿宋" w:cs="仿宋"/>
          <w:sz w:val="30"/>
          <w:szCs w:val="30"/>
          <w:lang w:bidi="ar"/>
        </w:rPr>
        <w:t>棵。</w:t>
      </w:r>
    </w:p>
    <w:p>
      <w:pPr>
        <w:spacing w:line="360" w:lineRule="auto"/>
        <w:ind w:firstLine="567" w:firstLineChars="189"/>
        <w:rPr>
          <w:rFonts w:ascii="仿宋" w:hAnsi="仿宋" w:eastAsia="仿宋" w:cs="仿宋"/>
          <w:sz w:val="30"/>
          <w:szCs w:val="30"/>
          <w:lang w:bidi="ar"/>
        </w:rPr>
      </w:pPr>
      <w:r>
        <w:rPr>
          <w:rFonts w:hint="eastAsia" w:ascii="仿宋" w:hAnsi="仿宋" w:eastAsia="仿宋" w:cs="仿宋"/>
          <w:sz w:val="30"/>
          <w:szCs w:val="30"/>
          <w:lang w:bidi="ar"/>
        </w:rPr>
        <w:t>3、</w:t>
      </w:r>
      <w:r>
        <w:rPr>
          <w:rFonts w:hint="eastAsia" w:ascii="仿宋" w:hAnsi="仿宋" w:eastAsia="仿宋" w:cs="仿宋"/>
          <w:sz w:val="30"/>
          <w:szCs w:val="30"/>
          <w:highlight w:val="none"/>
          <w:lang w:bidi="ar"/>
        </w:rPr>
        <w:t>珠玑院区绿地面积约</w:t>
      </w:r>
      <w:r>
        <w:rPr>
          <w:rFonts w:hint="eastAsia" w:ascii="仿宋" w:hAnsi="仿宋" w:eastAsia="仿宋" w:cs="仿宋"/>
          <w:sz w:val="30"/>
          <w:szCs w:val="30"/>
          <w:highlight w:val="none"/>
          <w:lang w:val="en-US" w:eastAsia="zh-CN" w:bidi="ar"/>
        </w:rPr>
        <w:t>436</w:t>
      </w:r>
      <w:r>
        <w:rPr>
          <w:rFonts w:hint="eastAsia" w:ascii="仿宋" w:hAnsi="仿宋" w:eastAsia="仿宋" w:cs="仿宋"/>
          <w:sz w:val="30"/>
          <w:szCs w:val="30"/>
          <w:highlight w:val="none"/>
          <w:lang w:bidi="ar"/>
        </w:rPr>
        <w:t>m</w:t>
      </w:r>
      <w:r>
        <w:rPr>
          <w:rFonts w:ascii="Calibri" w:hAnsi="Calibri" w:eastAsia="仿宋" w:cs="Calibri"/>
          <w:sz w:val="30"/>
          <w:szCs w:val="30"/>
          <w:highlight w:val="none"/>
          <w:lang w:bidi="ar"/>
        </w:rPr>
        <w:t>²</w:t>
      </w:r>
      <w:r>
        <w:rPr>
          <w:rFonts w:hint="eastAsia" w:ascii="仿宋" w:hAnsi="仿宋" w:eastAsia="仿宋" w:cs="仿宋"/>
          <w:sz w:val="30"/>
          <w:szCs w:val="30"/>
          <w:highlight w:val="none"/>
          <w:lang w:bidi="ar"/>
        </w:rPr>
        <w:t>，乔木</w:t>
      </w:r>
      <w:r>
        <w:rPr>
          <w:rFonts w:hint="eastAsia" w:ascii="仿宋" w:hAnsi="仿宋" w:eastAsia="仿宋" w:cs="仿宋"/>
          <w:sz w:val="30"/>
          <w:szCs w:val="30"/>
          <w:highlight w:val="none"/>
          <w:lang w:val="en-US" w:eastAsia="zh-CN" w:bidi="ar"/>
        </w:rPr>
        <w:t>6</w:t>
      </w:r>
      <w:r>
        <w:rPr>
          <w:rFonts w:hint="eastAsia" w:ascii="仿宋" w:hAnsi="仿宋" w:eastAsia="仿宋" w:cs="仿宋"/>
          <w:sz w:val="30"/>
          <w:szCs w:val="30"/>
          <w:highlight w:val="none"/>
          <w:lang w:bidi="ar"/>
        </w:rPr>
        <w:t>棵，灌木面积</w:t>
      </w:r>
      <w:r>
        <w:rPr>
          <w:rFonts w:hint="eastAsia" w:ascii="仿宋" w:hAnsi="仿宋" w:eastAsia="仿宋" w:cs="仿宋"/>
          <w:sz w:val="30"/>
          <w:szCs w:val="30"/>
          <w:highlight w:val="none"/>
          <w:lang w:val="en-US" w:eastAsia="zh-CN" w:bidi="ar"/>
        </w:rPr>
        <w:t>326</w:t>
      </w:r>
      <w:r>
        <w:rPr>
          <w:rFonts w:ascii="Calibri" w:hAnsi="Calibri" w:eastAsia="仿宋" w:cs="Calibri"/>
          <w:sz w:val="30"/>
          <w:szCs w:val="30"/>
          <w:highlight w:val="none"/>
          <w:lang w:bidi="ar"/>
        </w:rPr>
        <w:t>²</w:t>
      </w:r>
      <w:r>
        <w:rPr>
          <w:rFonts w:hint="eastAsia" w:ascii="仿宋" w:hAnsi="仿宋" w:eastAsia="仿宋" w:cs="仿宋"/>
          <w:sz w:val="30"/>
          <w:szCs w:val="30"/>
          <w:highlight w:val="none"/>
          <w:lang w:bidi="ar"/>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注：详见附件1</w:t>
      </w:r>
      <w:r>
        <w:rPr>
          <w:rFonts w:hint="eastAsia" w:ascii="仿宋" w:hAnsi="仿宋" w:eastAsia="仿宋" w:cs="仿宋"/>
          <w:sz w:val="30"/>
          <w:szCs w:val="30"/>
          <w:lang w:eastAsia="zh-CN" w:bidi="ar"/>
        </w:rPr>
        <w:t>（</w:t>
      </w:r>
      <w:r>
        <w:rPr>
          <w:rFonts w:hint="eastAsia" w:ascii="仿宋" w:hAnsi="仿宋" w:eastAsia="仿宋" w:cs="仿宋"/>
          <w:sz w:val="30"/>
          <w:szCs w:val="30"/>
          <w:lang w:val="en-US" w:eastAsia="zh-CN" w:bidi="ar"/>
        </w:rPr>
        <w:t>表内</w:t>
      </w:r>
      <w:r>
        <w:rPr>
          <w:rFonts w:hint="eastAsia" w:ascii="仿宋" w:hAnsi="仿宋" w:eastAsia="仿宋" w:cs="仿宋"/>
          <w:sz w:val="30"/>
          <w:szCs w:val="30"/>
          <w:lang w:bidi="ar"/>
        </w:rPr>
        <w:t>数据仅供参考，实际情况以现场为准</w:t>
      </w:r>
      <w:r>
        <w:rPr>
          <w:rFonts w:hint="eastAsia" w:ascii="仿宋" w:hAnsi="仿宋" w:eastAsia="仿宋" w:cs="仿宋"/>
          <w:sz w:val="30"/>
          <w:szCs w:val="30"/>
          <w:lang w:eastAsia="zh-CN" w:bidi="ar"/>
        </w:rPr>
        <w:t>）</w:t>
      </w:r>
      <w:r>
        <w:rPr>
          <w:rFonts w:hint="eastAsia" w:ascii="仿宋" w:hAnsi="仿宋" w:eastAsia="仿宋" w:cs="仿宋"/>
          <w:sz w:val="30"/>
          <w:szCs w:val="30"/>
          <w:lang w:bidi="ar"/>
        </w:rPr>
        <w:t>。</w:t>
      </w:r>
    </w:p>
    <w:p>
      <w:pPr>
        <w:spacing w:line="360" w:lineRule="auto"/>
        <w:ind w:left="420"/>
        <w:rPr>
          <w:rFonts w:hint="eastAsia" w:ascii="仿宋" w:hAnsi="仿宋" w:eastAsia="仿宋" w:cs="仿宋"/>
          <w:sz w:val="30"/>
          <w:szCs w:val="30"/>
        </w:rPr>
      </w:pPr>
      <w:r>
        <w:rPr>
          <w:rFonts w:hint="eastAsia" w:ascii="仿宋" w:hAnsi="仿宋" w:eastAsia="仿宋" w:cs="仿宋"/>
          <w:b/>
          <w:bCs/>
          <w:sz w:val="30"/>
          <w:szCs w:val="30"/>
          <w:lang w:bidi="ar"/>
        </w:rPr>
        <w:t>（二）室外养护服务需求</w:t>
      </w:r>
    </w:p>
    <w:p>
      <w:pPr>
        <w:pStyle w:val="11"/>
        <w:widowControl/>
        <w:numPr>
          <w:ilvl w:val="0"/>
          <w:numId w:val="6"/>
        </w:numPr>
        <w:spacing w:line="360" w:lineRule="auto"/>
        <w:ind w:firstLine="709"/>
        <w:jc w:val="both"/>
        <w:rPr>
          <w:rFonts w:hint="eastAsia" w:ascii="仿宋" w:hAnsi="仿宋" w:eastAsia="仿宋" w:cs="仿宋"/>
          <w:sz w:val="30"/>
          <w:szCs w:val="30"/>
        </w:rPr>
      </w:pPr>
      <w:r>
        <w:rPr>
          <w:rFonts w:hint="eastAsia" w:ascii="仿宋" w:hAnsi="仿宋" w:eastAsia="仿宋" w:cs="仿宋"/>
          <w:sz w:val="30"/>
          <w:szCs w:val="30"/>
        </w:rPr>
        <w:t>室外养护范围包括天河院区室外绿化（含园林设施水景造景）、珠玑院区室外绿化、同德院区</w:t>
      </w:r>
      <w:bookmarkStart w:id="0" w:name="_Hlk217849271"/>
      <w:r>
        <w:rPr>
          <w:rFonts w:hint="eastAsia" w:ascii="仿宋" w:hAnsi="仿宋" w:eastAsia="仿宋" w:cs="仿宋"/>
          <w:sz w:val="30"/>
          <w:szCs w:val="30"/>
        </w:rPr>
        <w:t>室外绿化</w:t>
      </w:r>
      <w:bookmarkEnd w:id="0"/>
      <w:r>
        <w:rPr>
          <w:rFonts w:hint="eastAsia" w:ascii="仿宋" w:hAnsi="仿宋" w:eastAsia="仿宋" w:cs="仿宋"/>
          <w:sz w:val="30"/>
          <w:szCs w:val="30"/>
        </w:rPr>
        <w:t>、五羊门诊室外花池、制剂楼绿地等。中标人应根据季节变化和绿化植物的生长特性，制定各院区室外养护方案及室外绿化防治虫害方案。养护标准包括但不限于：《中华人民共和国安全生产法》、《广东省城市绿地养护技术规范》、《广东省城市绿地养护质量标准》广州市《园林绿地养护管理技术规范》(DB4401/T6—2018）等各类国家、省、市有关规程、规范，如有最新标准则按最新标准执行。</w:t>
      </w:r>
    </w:p>
    <w:p>
      <w:pPr>
        <w:pStyle w:val="11"/>
        <w:widowControl/>
        <w:numPr>
          <w:ilvl w:val="0"/>
          <w:numId w:val="6"/>
        </w:numPr>
        <w:spacing w:line="360" w:lineRule="auto"/>
        <w:ind w:firstLine="709"/>
        <w:jc w:val="both"/>
        <w:rPr>
          <w:rFonts w:hint="eastAsia" w:ascii="仿宋" w:hAnsi="仿宋" w:eastAsia="仿宋" w:cs="仿宋"/>
          <w:sz w:val="30"/>
          <w:szCs w:val="30"/>
        </w:rPr>
      </w:pPr>
      <w:r>
        <w:rPr>
          <w:rFonts w:hint="eastAsia" w:ascii="仿宋" w:hAnsi="仿宋" w:eastAsia="仿宋" w:cs="仿宋"/>
          <w:sz w:val="30"/>
          <w:szCs w:val="30"/>
        </w:rPr>
        <w:t>对养护过程进行控制，对绿化植物和设施进行分类养护、补植和维护，保持绿地清洁。在雨水缺少的季节应增加浇水频次，雨季注意排涝。</w:t>
      </w:r>
    </w:p>
    <w:p>
      <w:pPr>
        <w:pStyle w:val="11"/>
        <w:widowControl/>
        <w:numPr>
          <w:ilvl w:val="0"/>
          <w:numId w:val="6"/>
        </w:numPr>
        <w:spacing w:line="360" w:lineRule="auto"/>
        <w:ind w:firstLine="709"/>
        <w:jc w:val="both"/>
        <w:rPr>
          <w:rFonts w:hint="eastAsia" w:ascii="仿宋" w:hAnsi="仿宋" w:eastAsia="仿宋" w:cs="仿宋"/>
          <w:sz w:val="30"/>
          <w:szCs w:val="30"/>
        </w:rPr>
      </w:pPr>
      <w:r>
        <w:rPr>
          <w:rFonts w:hint="eastAsia" w:ascii="仿宋" w:hAnsi="仿宋" w:eastAsia="仿宋" w:cs="仿宋"/>
          <w:sz w:val="30"/>
          <w:szCs w:val="30"/>
        </w:rPr>
        <w:t>完善服务区域内的灌木造册管理，确保每棵树木的信息详细记录在册，悬挂树种铭牌要随时巡查补缺，铭牌内容包括树种名称、树龄、生长状况及养护历史等。铭牌设计应简洁明了，材质耐用，能够抵御风雨侵蚀，便于识别。定期更新树木信息，确保数据的准确性和时效性。</w:t>
      </w:r>
    </w:p>
    <w:p>
      <w:pPr>
        <w:pStyle w:val="11"/>
        <w:widowControl/>
        <w:numPr>
          <w:ilvl w:val="0"/>
          <w:numId w:val="6"/>
        </w:numPr>
        <w:spacing w:line="360" w:lineRule="auto"/>
        <w:ind w:firstLine="709"/>
        <w:jc w:val="both"/>
        <w:rPr>
          <w:rFonts w:hint="eastAsia" w:ascii="仿宋" w:hAnsi="仿宋" w:eastAsia="仿宋" w:cs="仿宋"/>
          <w:sz w:val="30"/>
          <w:szCs w:val="30"/>
        </w:rPr>
      </w:pPr>
      <w:r>
        <w:rPr>
          <w:rFonts w:hint="eastAsia" w:ascii="仿宋" w:hAnsi="仿宋" w:eastAsia="仿宋" w:cs="仿宋"/>
          <w:sz w:val="30"/>
          <w:szCs w:val="30"/>
        </w:rPr>
        <w:t>每周清理绿化区域内的蛇迹、鼠迹、蟑迹和鼠洞堵塞，清理绿化区域内乱张贴和乱搭挂物；每天清理花盆、绿化地中的垃圾、杂物。</w:t>
      </w:r>
    </w:p>
    <w:p>
      <w:pPr>
        <w:numPr>
          <w:ilvl w:val="0"/>
          <w:numId w:val="6"/>
        </w:numPr>
        <w:spacing w:line="360" w:lineRule="auto"/>
        <w:ind w:firstLine="709"/>
        <w:rPr>
          <w:rFonts w:hint="eastAsia" w:ascii="仿宋" w:hAnsi="仿宋" w:eastAsia="仿宋" w:cs="仿宋"/>
          <w:sz w:val="30"/>
          <w:szCs w:val="30"/>
        </w:rPr>
      </w:pPr>
      <w:r>
        <w:rPr>
          <w:rFonts w:hint="eastAsia" w:ascii="仿宋" w:hAnsi="仿宋" w:eastAsia="仿宋" w:cs="仿宋"/>
          <w:sz w:val="30"/>
          <w:szCs w:val="30"/>
          <w:lang w:bidi="ar"/>
        </w:rPr>
        <w:t>经常观察绿地植物、病虫害情况，一旦发现立即跟踪防治，避免出现病虫害现象。使用的农药必须低毒有效、低残留，对人体健康相对安全。以预防为主，定期做好喷药防治工作，中标人应制定室外防治方案，采购人有权根据病虫害的防治效果对喷药防治工作进行调整，产生的费用由中标人负责，喷药如果效果不明显，应立即更换不同的药或加大浓度，直至得到全面控制。最严重受害程度不超过8%，不能出现因病虫害造成景观影响和树木虫屎明显状况。</w:t>
      </w:r>
    </w:p>
    <w:p>
      <w:pPr>
        <w:numPr>
          <w:ilvl w:val="0"/>
          <w:numId w:val="6"/>
        </w:numPr>
        <w:spacing w:line="360" w:lineRule="auto"/>
        <w:ind w:firstLine="709"/>
        <w:rPr>
          <w:rFonts w:ascii="仿宋" w:hAnsi="仿宋" w:eastAsia="仿宋" w:cs="仿宋"/>
          <w:sz w:val="30"/>
          <w:szCs w:val="30"/>
        </w:rPr>
      </w:pPr>
      <w:r>
        <w:rPr>
          <w:rFonts w:hint="eastAsia" w:ascii="仿宋" w:hAnsi="仿宋" w:eastAsia="仿宋" w:cs="仿宋"/>
          <w:sz w:val="30"/>
          <w:szCs w:val="30"/>
          <w:lang w:bidi="ar"/>
        </w:rPr>
        <w:t>对水景景观养护，包括水景设施和周围的绿植，其中需对水池常规清洗、设备维护、维修。自动轮灌系统进行保养、设备维护、维修。中标人负责更换损坏的配件和耗材，且单价500元以内的配件、耗材由中标人负责支付，超过500元的费用由双方协商后处理。</w:t>
      </w:r>
    </w:p>
    <w:p>
      <w:pPr>
        <w:numPr>
          <w:ilvl w:val="0"/>
          <w:numId w:val="6"/>
        </w:numPr>
        <w:spacing w:line="360" w:lineRule="auto"/>
        <w:ind w:firstLine="709"/>
        <w:rPr>
          <w:rFonts w:ascii="仿宋" w:hAnsi="仿宋" w:eastAsia="仿宋" w:cs="仿宋"/>
          <w:sz w:val="30"/>
          <w:szCs w:val="30"/>
        </w:rPr>
      </w:pPr>
      <w:r>
        <w:rPr>
          <w:rFonts w:hint="eastAsia" w:ascii="仿宋" w:hAnsi="仿宋" w:eastAsia="仿宋" w:cs="仿宋"/>
          <w:sz w:val="30"/>
          <w:szCs w:val="30"/>
          <w:lang w:bidi="ar"/>
        </w:rPr>
        <w:t>天河院区的中药园占地约1592平方米，其中种植区域为940平方米。中标人应依据岭南地区的特色风格，致力于传承和弘扬中医药文化以及中国传统文化，对中药园进行精心设计、种植和养护。选择既适宜种植、生长，又具有较强观赏性的植物，以确保园内四季花开不断。同时，合理规划种植区域，确保每种植物都有足够的生长空间。必要时，聘请专业的中药种植专家进行技术指导，组织员工参加相关培训，提高种植技术水平。采用科学的种植方法和管理措施，包括土壤改良、合理施肥、病虫害防治等。如养护中出现植物缺少或枯萎，需对现有品种进行补种。</w:t>
      </w:r>
    </w:p>
    <w:p>
      <w:pPr>
        <w:pStyle w:val="11"/>
        <w:widowControl/>
        <w:numPr>
          <w:ilvl w:val="0"/>
          <w:numId w:val="6"/>
        </w:numPr>
        <w:spacing w:line="360" w:lineRule="auto"/>
        <w:ind w:firstLine="567"/>
        <w:jc w:val="both"/>
        <w:rPr>
          <w:rFonts w:hint="eastAsia" w:ascii="仿宋" w:hAnsi="仿宋" w:eastAsia="仿宋" w:cs="仿宋"/>
          <w:color w:val="000000"/>
          <w:sz w:val="30"/>
          <w:szCs w:val="30"/>
        </w:rPr>
      </w:pPr>
      <w:r>
        <w:rPr>
          <w:rFonts w:hint="eastAsia" w:ascii="仿宋" w:hAnsi="仿宋" w:eastAsia="仿宋" w:cs="仿宋"/>
          <w:color w:val="000000"/>
          <w:sz w:val="30"/>
          <w:szCs w:val="30"/>
        </w:rPr>
        <w:t>室外地植植物自然凋谢或死亡的，中标人应及时以书面形式向采购人报告，并提出更换、补种的方案或建议，经采购人同意后实施，中标人须承担补种一切费用。</w:t>
      </w:r>
    </w:p>
    <w:p>
      <w:pPr>
        <w:numPr>
          <w:ilvl w:val="0"/>
          <w:numId w:val="6"/>
        </w:numPr>
        <w:spacing w:line="360" w:lineRule="auto"/>
        <w:ind w:firstLine="567"/>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制订</w:t>
      </w:r>
      <w:r>
        <w:rPr>
          <w:rFonts w:hint="eastAsia" w:ascii="仿宋" w:hAnsi="仿宋" w:eastAsia="仿宋" w:cs="仿宋"/>
          <w:sz w:val="30"/>
          <w:szCs w:val="30"/>
          <w:highlight w:val="none"/>
        </w:rPr>
        <w:t>珠玑院区古树养护方案</w:t>
      </w:r>
      <w:r>
        <w:rPr>
          <w:rFonts w:hint="eastAsia" w:ascii="仿宋" w:hAnsi="仿宋" w:eastAsia="仿宋" w:cs="仿宋"/>
          <w:sz w:val="30"/>
          <w:szCs w:val="30"/>
          <w:highlight w:val="none"/>
          <w:lang w:eastAsia="zh-CN"/>
        </w:rPr>
        <w:t>，</w:t>
      </w:r>
      <w:r>
        <w:rPr>
          <w:rFonts w:hint="eastAsia" w:ascii="仿宋" w:hAnsi="仿宋" w:eastAsia="仿宋" w:cs="仿宋"/>
          <w:sz w:val="30"/>
          <w:szCs w:val="30"/>
          <w:shd w:val="clear" w:color="auto" w:fill="FFFFFF"/>
        </w:rPr>
        <w:t>做好日常古树壮根促根和病虫害防治养护方案工作，提供月度生长监测台账和年度日常养护报告。</w:t>
      </w:r>
      <w:r>
        <w:rPr>
          <w:rFonts w:hint="eastAsia" w:ascii="仿宋" w:hAnsi="仿宋" w:eastAsia="仿宋" w:cs="仿宋"/>
          <w:sz w:val="30"/>
          <w:szCs w:val="30"/>
          <w:highlight w:val="none"/>
          <w:lang w:val="en-US" w:eastAsia="zh-CN"/>
        </w:rPr>
        <w:t>如发现</w:t>
      </w:r>
      <w:r>
        <w:rPr>
          <w:rFonts w:hint="eastAsia" w:ascii="仿宋" w:hAnsi="仿宋" w:eastAsia="仿宋" w:cs="仿宋"/>
          <w:sz w:val="30"/>
          <w:szCs w:val="30"/>
          <w:highlight w:val="none"/>
        </w:rPr>
        <w:t>腐烂</w:t>
      </w:r>
      <w:r>
        <w:rPr>
          <w:rFonts w:hint="eastAsia" w:ascii="仿宋" w:hAnsi="仿宋" w:eastAsia="仿宋" w:cs="仿宋"/>
          <w:sz w:val="30"/>
          <w:szCs w:val="30"/>
          <w:highlight w:val="none"/>
          <w:lang w:val="en-US" w:eastAsia="zh-CN"/>
        </w:rPr>
        <w:t>现象需进行</w:t>
      </w:r>
      <w:r>
        <w:rPr>
          <w:rFonts w:hint="eastAsia" w:ascii="仿宋" w:hAnsi="仿宋" w:eastAsia="仿宋" w:cs="仿宋"/>
          <w:sz w:val="30"/>
          <w:szCs w:val="30"/>
          <w:highlight w:val="none"/>
        </w:rPr>
        <w:t>清除和修补、立地土壤改良、壮根促根、增设支撑、病虫害防治等抢救复壮</w:t>
      </w:r>
      <w:r>
        <w:rPr>
          <w:rFonts w:hint="eastAsia" w:ascii="仿宋" w:hAnsi="仿宋" w:eastAsia="仿宋" w:cs="仿宋"/>
          <w:sz w:val="30"/>
          <w:szCs w:val="30"/>
          <w:highlight w:val="none"/>
          <w:lang w:val="en-US" w:eastAsia="zh-CN"/>
        </w:rPr>
        <w:t>工作。</w:t>
      </w:r>
      <w:r>
        <w:rPr>
          <w:rFonts w:hint="eastAsia" w:ascii="仿宋" w:hAnsi="仿宋" w:eastAsia="仿宋" w:cs="仿宋"/>
          <w:sz w:val="30"/>
          <w:szCs w:val="30"/>
          <w:highlight w:val="none"/>
        </w:rPr>
        <w:t>日常养护工作</w:t>
      </w:r>
      <w:r>
        <w:rPr>
          <w:rFonts w:hint="eastAsia" w:ascii="仿宋" w:hAnsi="仿宋" w:eastAsia="仿宋" w:cs="仿宋"/>
          <w:sz w:val="30"/>
          <w:szCs w:val="30"/>
          <w:highlight w:val="none"/>
          <w:lang w:val="en-US" w:eastAsia="zh-CN"/>
        </w:rPr>
        <w:t>重点</w:t>
      </w:r>
      <w:r>
        <w:rPr>
          <w:rFonts w:hint="eastAsia" w:ascii="仿宋" w:hAnsi="仿宋" w:eastAsia="仿宋" w:cs="仿宋"/>
          <w:sz w:val="30"/>
          <w:szCs w:val="30"/>
          <w:highlight w:val="none"/>
        </w:rPr>
        <w:t>解决该树木树干枯废、安全隐患和生长不良等问题。施工方式</w:t>
      </w:r>
      <w:r>
        <w:rPr>
          <w:rFonts w:hint="eastAsia" w:ascii="仿宋" w:hAnsi="仿宋" w:eastAsia="仿宋" w:cs="仿宋"/>
          <w:sz w:val="30"/>
          <w:szCs w:val="30"/>
          <w:highlight w:val="none"/>
          <w:lang w:val="en-US" w:eastAsia="zh-CN"/>
        </w:rPr>
        <w:t>应以</w:t>
      </w:r>
      <w:r>
        <w:rPr>
          <w:rFonts w:hint="eastAsia" w:ascii="仿宋" w:hAnsi="仿宋" w:eastAsia="仿宋" w:cs="仿宋"/>
          <w:sz w:val="30"/>
          <w:szCs w:val="30"/>
          <w:highlight w:val="none"/>
        </w:rPr>
        <w:t>包工包料、包工期、包质量、包文明施工、包安全风险。</w:t>
      </w:r>
    </w:p>
    <w:p>
      <w:pPr>
        <w:spacing w:line="360" w:lineRule="auto"/>
        <w:rPr>
          <w:rFonts w:hint="eastAsia" w:ascii="仿宋" w:hAnsi="仿宋" w:eastAsia="仿宋" w:cs="仿宋"/>
          <w:b/>
          <w:bCs/>
          <w:sz w:val="30"/>
          <w:szCs w:val="30"/>
        </w:rPr>
      </w:pPr>
      <w:r>
        <w:rPr>
          <w:rFonts w:hint="eastAsia" w:ascii="仿宋" w:hAnsi="仿宋" w:eastAsia="仿宋" w:cs="仿宋"/>
          <w:b/>
          <w:bCs/>
          <w:sz w:val="30"/>
          <w:szCs w:val="30"/>
          <w:lang w:bidi="ar"/>
        </w:rPr>
        <w:t>（三）绿植租摆服务需求</w:t>
      </w:r>
    </w:p>
    <w:p>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中标人提供绿植租摆服务，中标人需要对采购人所列出的常用绿植进行报价，实际摆放的位置、数量、品种由采购人决定，根据实际需求，采购人提出需提供清单外的绿植时，中标人应合理报价，价格经双方协商后执行。</w:t>
      </w:r>
    </w:p>
    <w:p>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中标人提供绿化租摆日常养护管理，包括但不限于浇水、施肥、除杂、病虫害防治、失去观赏效果的植株免费更换等。</w:t>
      </w:r>
    </w:p>
    <w:p>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植物摆放的选择上首先要考虑能吸收有害气体，净化空气，并考虑室内光照、通风不好的特点，选择对光照和通风要求不高的植物，不得使用枝叶尖硬、花粉多的植物。摆放的植物不能产生有毒气体，植物要与装修风格相协调，要有观瞻性、艺术性。植株丰满健壮，株型自然匀称。租摆的绿植，要求生长良好，长期保持叶面清洁光泽，无枯叶，无黄叶，无病虫害；花盆干净，底盆无积水现象；合理摆放，层次分明，插花色彩搭配精致大方、美观鲜艳。</w:t>
      </w:r>
    </w:p>
    <w:p>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植物花卉在摆放期间为保证其生长需要，必需定期施用肥料，施用的肥料应无异味、无毒的有机肥或高效无机肥。保证无刺激性气味，摆放环境清新自然。对虫害严重的应更换。 保证摆放植物的观赏性，对叶片少于植株 1/2 以上的或没有观赏性的植物及时更换。</w:t>
      </w:r>
    </w:p>
    <w:p>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中标人日常租摆植物的养护频次不低于3次/周。失去观赏效果的植株必须在3天内完成更换。中标人须对采购人现有植物花卉进行逐步替换处理。接到采购人租摆、增加或调整绿化通知后，须在24小时内完成，紧急情况租摆需在4小时内完成。</w:t>
      </w:r>
    </w:p>
    <w:p>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租摆植物清单详见《广州医科大学附属中医医院绿化租摆数量明细表》，中标人应按照采购人的实际需求摆放。各院区将按需求调配所需的绿植，结算时，按实际摆放数量、品种计算，中标人每次进场摆放时应提供入场清单。</w:t>
      </w:r>
    </w:p>
    <w:p>
      <w:pPr>
        <w:numPr>
          <w:ilvl w:val="0"/>
          <w:numId w:val="7"/>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中标人应做好节约用电、用水工作，采购人只提供养护保洁的水电费用。</w:t>
      </w:r>
    </w:p>
    <w:p>
      <w:pPr>
        <w:numPr>
          <w:ilvl w:val="0"/>
          <w:numId w:val="7"/>
        </w:num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bidi="ar"/>
        </w:rPr>
        <w:t>投标人需分别提供各类植物及时花的租赁费用，主要有：小型植物（配塑料盆）：规格0.2m-0.4m；品种莫兰、春芋、金钻、孔雀竹芋、白雪公主、也门铁、金边吊兰、常春藤、红星、凤梨、肾蕨、白掌、万年青、雅丽皇后、蝴蝶兰、凤仙、红掌、玛丽安、吊兰、如意、绿萝、变叶木、大叶伞等。中型植物（配塑料盆）：规格0.6m-1.3m；品种虎皮兰、肉桂、鹤望兰、黄杨盆景、旅人蕉、七彩铁、绿宝、万年青、绿萝等；大型植物（配塑料盆）：规格1.6m-1.8m；品种大叶伞、红檵木、绿萝、凤尾葵、摇钱树、幸福树、发财树、绿宝等。特殊植物（配陶瓷盆）：蝴蝶兰、剑兰、盆栽造景、节日造景等。以满足采购人摆设的地点、规格、数量、要求、时限等，对摆放不合理、效果不明显的（包括出现病花、残花、落叶等各种不美观的现象），要根据采购人的意见及时改正，并负责撤花清场及由此产生的费用。</w:t>
      </w:r>
    </w:p>
    <w:p>
      <w:pPr>
        <w:pStyle w:val="11"/>
        <w:widowControl/>
        <w:numPr>
          <w:ilvl w:val="0"/>
          <w:numId w:val="7"/>
        </w:numPr>
        <w:spacing w:beforeAutospacing="0" w:afterAutospacing="0" w:line="390" w:lineRule="atLeast"/>
        <w:ind w:firstLine="567"/>
        <w:jc w:val="both"/>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春节期间三院区</w:t>
      </w:r>
      <w:r>
        <w:rPr>
          <w:rFonts w:hint="eastAsia" w:ascii="仿宋" w:hAnsi="仿宋" w:eastAsia="仿宋" w:cs="仿宋"/>
          <w:b/>
          <w:bCs/>
          <w:color w:val="333333"/>
          <w:sz w:val="30"/>
          <w:szCs w:val="30"/>
          <w:shd w:val="clear" w:color="auto" w:fill="FFFFFF"/>
        </w:rPr>
        <w:t>（</w:t>
      </w:r>
      <w:r>
        <w:rPr>
          <w:rStyle w:val="17"/>
          <w:rFonts w:hint="eastAsia" w:ascii="仿宋" w:hAnsi="仿宋" w:eastAsia="仿宋" w:cs="仿宋"/>
          <w:b w:val="0"/>
          <w:bCs/>
          <w:color w:val="333333"/>
          <w:sz w:val="30"/>
          <w:szCs w:val="30"/>
        </w:rPr>
        <w:t>天河院区、珠玑院区、同德院区</w:t>
      </w:r>
      <w:r>
        <w:rPr>
          <w:rFonts w:hint="eastAsia" w:ascii="仿宋" w:hAnsi="仿宋" w:eastAsia="仿宋" w:cs="仿宋"/>
          <w:b/>
          <w:bCs/>
          <w:color w:val="333333"/>
          <w:sz w:val="30"/>
          <w:szCs w:val="30"/>
          <w:shd w:val="clear" w:color="auto" w:fill="FFFFFF"/>
        </w:rPr>
        <w:t>）</w:t>
      </w:r>
      <w:r>
        <w:rPr>
          <w:rFonts w:hint="eastAsia" w:ascii="仿宋" w:hAnsi="仿宋" w:eastAsia="仿宋" w:cs="仿宋"/>
          <w:color w:val="333333"/>
          <w:sz w:val="30"/>
          <w:szCs w:val="30"/>
          <w:shd w:val="clear" w:color="auto" w:fill="FFFFFF"/>
        </w:rPr>
        <w:t>门诊大厅需摆设不低于2.5米高年花造景，需提供具体设计方案及养护服务。</w:t>
      </w:r>
    </w:p>
    <w:p>
      <w:pPr>
        <w:spacing w:line="360" w:lineRule="auto"/>
        <w:rPr>
          <w:rFonts w:hint="eastAsia" w:ascii="仿宋" w:hAnsi="仿宋" w:eastAsia="仿宋" w:cs="仿宋"/>
          <w:b/>
          <w:bCs/>
          <w:sz w:val="30"/>
          <w:szCs w:val="30"/>
        </w:rPr>
      </w:pPr>
      <w:r>
        <w:rPr>
          <w:rFonts w:hint="eastAsia" w:ascii="仿宋" w:hAnsi="仿宋" w:eastAsia="仿宋" w:cs="仿宋"/>
          <w:b/>
          <w:bCs/>
          <w:sz w:val="30"/>
          <w:szCs w:val="30"/>
          <w:lang w:bidi="ar"/>
        </w:rPr>
        <w:t>（五）安全防护和应急处理措施</w:t>
      </w:r>
    </w:p>
    <w:p>
      <w:pPr>
        <w:pStyle w:val="11"/>
        <w:widowControl/>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lang w:bidi="ar"/>
        </w:rPr>
        <w:t>为了在项目执行期间，全方位地确保安全，从而有效预防和减少安全事故发生，保障项目的顺利推进。</w:t>
      </w:r>
      <w:r>
        <w:rPr>
          <w:rFonts w:hint="eastAsia" w:ascii="仿宋" w:hAnsi="仿宋" w:eastAsia="仿宋" w:cs="仿宋"/>
          <w:sz w:val="30"/>
          <w:szCs w:val="30"/>
        </w:rPr>
        <w:t>中标人应制定安全防护制度和应急处理措施方案，包括但不限于安全生产措施、隐患排除方案、安全生产责任制度。</w:t>
      </w:r>
    </w:p>
    <w:p>
      <w:pPr>
        <w:numPr>
          <w:ilvl w:val="0"/>
          <w:numId w:val="2"/>
        </w:numPr>
        <w:spacing w:line="360" w:lineRule="auto"/>
        <w:ind w:firstLine="562"/>
        <w:rPr>
          <w:rFonts w:hint="eastAsia" w:ascii="仿宋" w:hAnsi="仿宋" w:eastAsia="仿宋" w:cs="仿宋"/>
          <w:b/>
          <w:bCs/>
          <w:sz w:val="30"/>
          <w:szCs w:val="30"/>
        </w:rPr>
      </w:pPr>
      <w:r>
        <w:rPr>
          <w:rFonts w:hint="eastAsia" w:ascii="仿宋" w:hAnsi="仿宋" w:eastAsia="仿宋" w:cs="仿宋"/>
          <w:b/>
          <w:bCs/>
          <w:sz w:val="30"/>
          <w:szCs w:val="30"/>
          <w:lang w:bidi="ar"/>
        </w:rPr>
        <w:t>服务质量考核与验收要求</w:t>
      </w:r>
    </w:p>
    <w:p>
      <w:pPr>
        <w:pStyle w:val="11"/>
        <w:widowControl/>
        <w:numPr>
          <w:ilvl w:val="0"/>
          <w:numId w:val="8"/>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履约验收主体：采购人、中标人或者第三方专业机构及专家。</w:t>
      </w:r>
    </w:p>
    <w:p>
      <w:pPr>
        <w:pStyle w:val="11"/>
        <w:widowControl/>
        <w:numPr>
          <w:ilvl w:val="0"/>
          <w:numId w:val="8"/>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履约验收时间：本项目服务期满并移交所有资料文档，中标人提交验收申请后7天内。</w:t>
      </w:r>
    </w:p>
    <w:p>
      <w:pPr>
        <w:pStyle w:val="11"/>
        <w:widowControl/>
        <w:numPr>
          <w:ilvl w:val="0"/>
          <w:numId w:val="8"/>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履约验收方式及程序：由采购人组织中标人或第三方专业机构及专家现场核实验收，验收应按照相关规范、养护标准并结合本项目考核办法等规定进行。对验收不符合要求的，采购人有权要求中标人整改，直至符合验收要求。由此产生的有关费用及责任由中标人自行承担，验收期限相应后延。</w:t>
      </w:r>
    </w:p>
    <w:p>
      <w:pPr>
        <w:pStyle w:val="11"/>
        <w:widowControl/>
        <w:numPr>
          <w:ilvl w:val="0"/>
          <w:numId w:val="8"/>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履约验收内容：按照相关规范、养护标准并结合本项目考核办法等，通过检查中标人现场养护管理、归档资料、服务考核等方式，对服务进行验收。</w:t>
      </w:r>
    </w:p>
    <w:p>
      <w:pPr>
        <w:pStyle w:val="11"/>
        <w:widowControl/>
        <w:numPr>
          <w:ilvl w:val="0"/>
          <w:numId w:val="8"/>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履约验收标准：按照《园林绿地养护管理技术规范》（DB4401/T6-2018）和《广州医科大学附属中医医院园林绿化及设施管理要求》（附件3）等要求，检查养护计划执行情况，审核养护工作量及考核情况，并对园建设施等维护情况进行验收。</w:t>
      </w:r>
    </w:p>
    <w:p>
      <w:pPr>
        <w:pStyle w:val="11"/>
        <w:widowControl/>
        <w:spacing w:line="360" w:lineRule="auto"/>
        <w:ind w:left="420" w:leftChars="200"/>
        <w:jc w:val="both"/>
        <w:rPr>
          <w:rFonts w:hint="eastAsia" w:ascii="仿宋" w:hAnsi="仿宋" w:eastAsia="仿宋" w:cs="仿宋"/>
          <w:sz w:val="30"/>
          <w:szCs w:val="30"/>
        </w:rPr>
      </w:pPr>
      <w:r>
        <w:rPr>
          <w:rFonts w:hint="eastAsia" w:ascii="仿宋" w:hAnsi="仿宋" w:eastAsia="仿宋" w:cs="仿宋"/>
          <w:sz w:val="30"/>
          <w:szCs w:val="30"/>
        </w:rPr>
        <w:t>四、结算方法：</w:t>
      </w:r>
    </w:p>
    <w:p>
      <w:pPr>
        <w:pStyle w:val="11"/>
        <w:widowControl/>
        <w:numPr>
          <w:ilvl w:val="0"/>
          <w:numId w:val="9"/>
        </w:numPr>
        <w:spacing w:line="360" w:lineRule="auto"/>
        <w:ind w:left="420" w:leftChars="200"/>
        <w:jc w:val="both"/>
        <w:rPr>
          <w:rFonts w:hint="eastAsia" w:ascii="仿宋" w:hAnsi="仿宋" w:eastAsia="仿宋" w:cs="仿宋"/>
          <w:sz w:val="30"/>
          <w:szCs w:val="30"/>
        </w:rPr>
      </w:pPr>
      <w:r>
        <w:rPr>
          <w:rFonts w:hint="eastAsia" w:ascii="仿宋" w:hAnsi="仿宋" w:eastAsia="仿宋" w:cs="仿宋"/>
          <w:sz w:val="30"/>
          <w:szCs w:val="30"/>
          <w:lang w:bidi="ar"/>
        </w:rPr>
        <w:t>天河院区中草药园</w:t>
      </w:r>
      <w:r>
        <w:rPr>
          <w:rFonts w:hint="eastAsia" w:ascii="仿宋" w:hAnsi="仿宋" w:eastAsia="仿宋" w:cs="仿宋"/>
          <w:sz w:val="30"/>
          <w:szCs w:val="30"/>
        </w:rPr>
        <w:t>、室外养护，按月结算，月结算金额=（</w:t>
      </w:r>
      <w:r>
        <w:rPr>
          <w:rFonts w:hint="eastAsia" w:ascii="仿宋" w:hAnsi="仿宋" w:eastAsia="仿宋" w:cs="仿宋"/>
          <w:sz w:val="30"/>
          <w:szCs w:val="30"/>
          <w:lang w:bidi="ar"/>
        </w:rPr>
        <w:t>天河院区中草药园中标金额</w:t>
      </w:r>
      <w:r>
        <w:rPr>
          <w:rFonts w:hint="eastAsia" w:ascii="仿宋" w:hAnsi="仿宋" w:eastAsia="仿宋" w:cs="仿宋"/>
          <w:sz w:val="30"/>
          <w:szCs w:val="30"/>
        </w:rPr>
        <w:t>+室外养护中标金额）÷12。</w:t>
      </w:r>
    </w:p>
    <w:p>
      <w:pPr>
        <w:pStyle w:val="11"/>
        <w:widowControl/>
        <w:numPr>
          <w:ilvl w:val="0"/>
          <w:numId w:val="2"/>
        </w:numPr>
        <w:spacing w:line="360" w:lineRule="auto"/>
        <w:ind w:firstLine="600" w:firstLineChars="200"/>
        <w:jc w:val="both"/>
        <w:rPr>
          <w:rFonts w:ascii="仿宋" w:hAnsi="仿宋" w:eastAsia="仿宋" w:cs="仿宋"/>
          <w:b/>
          <w:bCs/>
          <w:sz w:val="30"/>
          <w:szCs w:val="30"/>
        </w:rPr>
      </w:pPr>
      <w:r>
        <w:rPr>
          <w:rFonts w:hint="eastAsia" w:ascii="仿宋" w:hAnsi="仿宋" w:eastAsia="仿宋" w:cs="仿宋"/>
          <w:sz w:val="30"/>
          <w:szCs w:val="30"/>
        </w:rPr>
        <w:t>租摆服务，按月结算，月结算金额=∑根据《</w:t>
      </w:r>
      <w:r>
        <w:rPr>
          <w:rFonts w:hint="eastAsia" w:ascii="仿宋" w:hAnsi="仿宋" w:eastAsia="仿宋" w:cs="仿宋"/>
          <w:b/>
          <w:bCs/>
          <w:sz w:val="30"/>
          <w:szCs w:val="30"/>
          <w:lang w:bidi="ar"/>
        </w:rPr>
        <w:t>广州医科大学附属中医医院绿化租摆服务报价表》内的品种、规格对应月单价×对应的数量。</w:t>
      </w:r>
      <w:r>
        <w:rPr>
          <w:rFonts w:hint="eastAsia" w:ascii="仿宋" w:hAnsi="仿宋" w:eastAsia="仿宋" w:cs="仿宋"/>
          <w:sz w:val="30"/>
          <w:szCs w:val="30"/>
        </w:rPr>
        <w:t>月度统计租摆数量，租摆数量由中标人提交结算书至采购人，采购人审核。</w:t>
      </w:r>
    </w:p>
    <w:p>
      <w:pPr>
        <w:pStyle w:val="11"/>
        <w:widowControl/>
        <w:numPr>
          <w:ilvl w:val="0"/>
          <w:numId w:val="2"/>
        </w:numPr>
        <w:spacing w:line="360" w:lineRule="auto"/>
        <w:ind w:firstLine="602" w:firstLineChars="200"/>
        <w:jc w:val="both"/>
        <w:rPr>
          <w:rFonts w:hint="eastAsia" w:ascii="仿宋" w:hAnsi="仿宋" w:eastAsia="仿宋" w:cs="仿宋"/>
          <w:b/>
          <w:bCs/>
          <w:sz w:val="30"/>
          <w:szCs w:val="30"/>
        </w:rPr>
      </w:pPr>
      <w:r>
        <w:rPr>
          <w:rFonts w:hint="eastAsia" w:ascii="仿宋" w:hAnsi="仿宋" w:eastAsia="仿宋" w:cs="仿宋"/>
          <w:b/>
          <w:bCs/>
          <w:kern w:val="2"/>
          <w:sz w:val="30"/>
          <w:szCs w:val="30"/>
          <w:lang w:bidi="ar"/>
        </w:rPr>
        <w:t>付款方式</w:t>
      </w:r>
    </w:p>
    <w:p>
      <w:pPr>
        <w:pStyle w:val="11"/>
        <w:widowControl/>
        <w:numPr>
          <w:ilvl w:val="0"/>
          <w:numId w:val="10"/>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采购人按照《广州医科大学附属中医医院园林绿化及设施管理要求》对中标人养护工作进行月度考评，根据考评结果核算服务费。服务期一年内，采购人每三个月支付一次服务费。</w:t>
      </w:r>
    </w:p>
    <w:p>
      <w:pPr>
        <w:pStyle w:val="11"/>
        <w:widowControl/>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2． 每月应付服务费=每月的（</w:t>
      </w:r>
      <w:r>
        <w:rPr>
          <w:rFonts w:hint="eastAsia" w:ascii="仿宋" w:hAnsi="仿宋" w:eastAsia="仿宋" w:cs="仿宋"/>
          <w:sz w:val="30"/>
          <w:szCs w:val="30"/>
          <w:lang w:bidi="ar"/>
        </w:rPr>
        <w:t>天河院区中草药园</w:t>
      </w:r>
      <w:r>
        <w:rPr>
          <w:rFonts w:hint="eastAsia" w:ascii="仿宋" w:hAnsi="仿宋" w:eastAsia="仿宋" w:cs="仿宋"/>
          <w:sz w:val="30"/>
          <w:szCs w:val="30"/>
        </w:rPr>
        <w:t>、室外养护）月结算金额+租摆服务月结算金额之和－根据《广州医科大学附属中医医院绿化服务项目考核评分表》的扣款。服务费用经双方确认后，由中标人提供正式发票，采购人办理支付。</w:t>
      </w:r>
    </w:p>
    <w:p>
      <w:pPr>
        <w:numPr>
          <w:ilvl w:val="0"/>
          <w:numId w:val="2"/>
        </w:num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bidi="ar"/>
        </w:rPr>
        <w:t>履约保证金</w:t>
      </w:r>
    </w:p>
    <w:p>
      <w:pPr>
        <w:pStyle w:val="11"/>
        <w:widowControl/>
        <w:numPr>
          <w:ilvl w:val="0"/>
          <w:numId w:val="11"/>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中标人与采购人签订合同后30天内，按合同总价的2.5%以银行出具的保函向采购人提交为期项目合同结束服务期满后30日为止不可撤销的履约保证金。下列任何一种情况发生时，采购人有权不予退还履约保证金（请采购人列出不予退还的情形，如）：（一）有明显证据证明中标人未履行本合同约定的；（二）中标人有明显过错致采购人造成损失的；（三）中标人在合同结束时未完成本项目工作要求。（四）合同因中标人原因导致双方解除合同的。</w:t>
      </w:r>
    </w:p>
    <w:p>
      <w:pPr>
        <w:pStyle w:val="11"/>
        <w:widowControl/>
        <w:numPr>
          <w:ilvl w:val="0"/>
          <w:numId w:val="11"/>
        </w:num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rPr>
        <w:t>对于因中标人原因提前解除合同的、或造成采购人受到较大损失的，或在服务期发现原投标材料有虚假证明的，报经政府采购管理部门认定属实后，依法进行处罚，同时，该履约保函或保险不予退还。且采购人有权要求乙方返还已收取的服务费用，按照本合同服务费用总额（即本项目合同总价款）30％的标准向采购人支付违约金，以及赔偿采购人因此而造成的损失</w:t>
      </w:r>
    </w:p>
    <w:p>
      <w:pPr>
        <w:spacing w:line="360" w:lineRule="auto"/>
        <w:rPr>
          <w:rFonts w:hint="eastAsia" w:ascii="仿宋" w:hAnsi="仿宋" w:eastAsia="仿宋" w:cs="仿宋"/>
          <w:sz w:val="30"/>
          <w:szCs w:val="30"/>
          <w:lang w:bidi="ar"/>
        </w:rPr>
        <w:sectPr>
          <w:pgSz w:w="11906" w:h="16838"/>
          <w:pgMar w:top="1440" w:right="1274" w:bottom="1440" w:left="1418" w:header="851" w:footer="992" w:gutter="0"/>
          <w:cols w:space="425" w:num="1"/>
          <w:docGrid w:type="lines" w:linePitch="312" w:charSpace="0"/>
        </w:sectPr>
      </w:pPr>
    </w:p>
    <w:p>
      <w:pPr>
        <w:spacing w:line="360" w:lineRule="auto"/>
        <w:rPr>
          <w:rFonts w:hint="eastAsia" w:ascii="仿宋" w:hAnsi="仿宋" w:eastAsia="仿宋" w:cs="仿宋"/>
          <w:b/>
          <w:bCs/>
          <w:spacing w:val="-20"/>
          <w:sz w:val="30"/>
          <w:szCs w:val="30"/>
        </w:rPr>
      </w:pPr>
      <w:r>
        <w:rPr>
          <w:rFonts w:hint="eastAsia" w:ascii="仿宋" w:hAnsi="仿宋" w:eastAsia="仿宋" w:cs="仿宋"/>
          <w:b/>
          <w:bCs/>
          <w:spacing w:val="-20"/>
          <w:sz w:val="30"/>
          <w:szCs w:val="30"/>
          <w:lang w:bidi="ar"/>
        </w:rPr>
        <w:t>附件1：</w:t>
      </w:r>
    </w:p>
    <w:tbl>
      <w:tblPr>
        <w:tblStyle w:val="15"/>
        <w:tblW w:w="79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
        <w:gridCol w:w="1476"/>
        <w:gridCol w:w="600"/>
        <w:gridCol w:w="636"/>
        <w:gridCol w:w="624"/>
        <w:gridCol w:w="636"/>
        <w:gridCol w:w="969"/>
        <w:gridCol w:w="1080"/>
        <w:gridCol w:w="851"/>
        <w:gridCol w:w="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920" w:type="dxa"/>
            <w:gridSpan w:val="10"/>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b/>
                <w:bCs/>
                <w:i w:val="0"/>
                <w:iCs w:val="0"/>
                <w:color w:val="000000"/>
                <w:sz w:val="24"/>
                <w:szCs w:val="24"/>
                <w:u w:val="none"/>
              </w:rPr>
            </w:pPr>
            <w:r>
              <w:rPr>
                <w:rFonts w:hint="eastAsia" w:ascii="仿宋" w:hAnsi="仿宋" w:eastAsia="仿宋" w:cs="仿宋"/>
                <w:b/>
                <w:bCs/>
                <w:sz w:val="30"/>
                <w:szCs w:val="30"/>
                <w:lang w:bidi="ar"/>
              </w:rPr>
              <w:br w:type="page"/>
            </w:r>
            <w:r>
              <w:rPr>
                <w:rFonts w:hint="eastAsia" w:ascii="宋体" w:hAnsi="宋体" w:eastAsia="宋体" w:cs="宋体"/>
                <w:b/>
                <w:bCs/>
                <w:i w:val="0"/>
                <w:iCs w:val="0"/>
                <w:color w:val="000000"/>
                <w:kern w:val="0"/>
                <w:sz w:val="24"/>
                <w:szCs w:val="24"/>
                <w:u w:val="none"/>
                <w:lang w:val="en-US" w:eastAsia="zh-CN" w:bidi="ar"/>
              </w:rPr>
              <w:t>《广州医科大学附属中医医院绿化数量汇总表》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院区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乔木棵数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棵数合计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绿植盆数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盆数合计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树池、花池养护面积/平方米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合计面积（平方米）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年桔(花)盆数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天河院区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珠玑院区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同德院区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同德综合门诊部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五羊门诊部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潭岗制剂楼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备注</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每两个天巡查绿植</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每两个月更换绿植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每两天养护1次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含1个月养护期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360" w:lineRule="auto"/>
        <w:rPr>
          <w:rFonts w:hint="eastAsia" w:ascii="仿宋" w:hAnsi="仿宋" w:eastAsia="仿宋" w:cs="仿宋"/>
          <w:b/>
          <w:bCs/>
          <w:sz w:val="30"/>
          <w:szCs w:val="30"/>
        </w:rPr>
      </w:pPr>
    </w:p>
    <w:p>
      <w:pPr>
        <w:spacing w:line="360" w:lineRule="auto"/>
        <w:rPr>
          <w:rFonts w:hint="eastAsia" w:ascii="仿宋" w:hAnsi="仿宋" w:eastAsia="仿宋" w:cs="仿宋"/>
          <w:b/>
          <w:bCs/>
          <w:sz w:val="30"/>
          <w:szCs w:val="30"/>
          <w:lang w:bidi="ar"/>
        </w:rPr>
        <w:sectPr>
          <w:pgSz w:w="11906" w:h="16838"/>
          <w:pgMar w:top="1440" w:right="1800" w:bottom="1440" w:left="1800" w:header="851" w:footer="992" w:gutter="0"/>
          <w:cols w:space="425" w:num="1"/>
          <w:docGrid w:type="lines" w:linePitch="312" w:charSpace="0"/>
        </w:sectPr>
      </w:pPr>
    </w:p>
    <w:p>
      <w:pPr>
        <w:spacing w:line="360" w:lineRule="auto"/>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bidi="ar"/>
        </w:rPr>
        <w:t>附件</w:t>
      </w:r>
      <w:r>
        <w:rPr>
          <w:rFonts w:hint="eastAsia" w:ascii="仿宋" w:hAnsi="仿宋" w:eastAsia="仿宋" w:cs="仿宋"/>
          <w:b/>
          <w:bCs/>
          <w:color w:val="000000"/>
          <w:sz w:val="30"/>
          <w:szCs w:val="30"/>
          <w:lang w:val="en-US" w:eastAsia="zh-CN" w:bidi="ar"/>
        </w:rPr>
        <w:t>2</w:t>
      </w:r>
    </w:p>
    <w:p>
      <w:pPr>
        <w:spacing w:line="360" w:lineRule="auto"/>
        <w:jc w:val="center"/>
        <w:rPr>
          <w:rFonts w:hint="eastAsia" w:ascii="仿宋" w:hAnsi="仿宋" w:eastAsia="仿宋" w:cs="仿宋"/>
          <w:sz w:val="30"/>
          <w:szCs w:val="30"/>
        </w:rPr>
      </w:pPr>
      <w:r>
        <w:rPr>
          <w:rFonts w:hint="eastAsia" w:ascii="仿宋" w:hAnsi="仿宋" w:eastAsia="仿宋" w:cs="仿宋"/>
          <w:b/>
          <w:bCs/>
          <w:sz w:val="30"/>
          <w:szCs w:val="30"/>
          <w:lang w:bidi="ar"/>
        </w:rPr>
        <w:t>广州医科大学附属中医医院园林绿化及设施管理要求</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为改善就医体验，美化医院环境，结合我院绿化工作实际，制定广州医科大学附属中医医院园林绿化管理要求。</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一、总则</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bookmarkStart w:id="1" w:name="_Toc156797881"/>
      <w:r>
        <w:rPr>
          <w:rFonts w:hint="eastAsia" w:ascii="仿宋" w:hAnsi="仿宋" w:eastAsia="仿宋" w:cs="仿宋"/>
          <w:sz w:val="30"/>
          <w:szCs w:val="30"/>
          <w:lang w:bidi="ar"/>
        </w:rPr>
        <w:t>（一）适用范围</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广州医科大学附属中医医院园林绿化管理要求参照广州市《园林绿地养护管理技术规范》（DB4401/T6—2018）二级养护质量标准制定，本标准适用于广州医科大学附属中医医院中的园林绿化乔木、灌木、藤本、竹类、草花、草坪、地被、植物和古树名木等的日常养护管理以及绿地保洁等工作。</w:t>
      </w:r>
      <w:bookmarkEnd w:id="1"/>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bookmarkStart w:id="2" w:name="_Toc156797440"/>
      <w:r>
        <w:rPr>
          <w:rFonts w:hint="eastAsia" w:ascii="仿宋" w:hAnsi="仿宋" w:eastAsia="仿宋" w:cs="仿宋"/>
          <w:sz w:val="30"/>
          <w:szCs w:val="30"/>
          <w:lang w:bidi="ar"/>
        </w:rPr>
        <w:t>二、管理标准</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（一）整体要求</w:t>
      </w:r>
    </w:p>
    <w:p>
      <w:pPr>
        <w:widowControl/>
        <w:kinsoku w:val="0"/>
        <w:autoSpaceDE w:val="0"/>
        <w:autoSpaceDN w:val="0"/>
        <w:adjustRightInd w:val="0"/>
        <w:snapToGrid w:val="0"/>
        <w:spacing w:before="77" w:line="360" w:lineRule="auto"/>
        <w:ind w:left="288" w:right="107" w:firstLine="433"/>
        <w:textAlignment w:val="baseline"/>
        <w:rPr>
          <w:rFonts w:hint="eastAsia" w:ascii="仿宋" w:hAnsi="仿宋" w:eastAsia="仿宋" w:cs="仿宋"/>
          <w:sz w:val="30"/>
          <w:szCs w:val="30"/>
        </w:rPr>
      </w:pPr>
      <w:r>
        <w:rPr>
          <w:rFonts w:hint="eastAsia" w:ascii="仿宋" w:hAnsi="仿宋" w:eastAsia="仿宋" w:cs="仿宋"/>
          <w:spacing w:val="9"/>
          <w:sz w:val="30"/>
          <w:szCs w:val="30"/>
          <w:lang w:bidi="ar"/>
        </w:rPr>
        <w:t>1.制订科学完善的养护技术方案，建有工种齐全、人员固定的养护队伍，养护到位，保洁得当，绿化总体景观优</w:t>
      </w:r>
      <w:r>
        <w:rPr>
          <w:rFonts w:hint="eastAsia" w:ascii="仿宋" w:hAnsi="仿宋" w:eastAsia="仿宋" w:cs="仿宋"/>
          <w:spacing w:val="7"/>
          <w:sz w:val="30"/>
          <w:szCs w:val="30"/>
          <w:lang w:bidi="ar"/>
        </w:rPr>
        <w:t>美</w:t>
      </w:r>
      <w:r>
        <w:rPr>
          <w:rFonts w:hint="eastAsia" w:ascii="仿宋" w:hAnsi="仿宋" w:eastAsia="仿宋" w:cs="仿宋"/>
          <w:spacing w:val="4"/>
          <w:sz w:val="30"/>
          <w:szCs w:val="30"/>
          <w:lang w:bidi="ar"/>
        </w:rPr>
        <w:t>整洁。</w:t>
      </w:r>
    </w:p>
    <w:p>
      <w:pPr>
        <w:widowControl/>
        <w:kinsoku w:val="0"/>
        <w:autoSpaceDE w:val="0"/>
        <w:autoSpaceDN w:val="0"/>
        <w:adjustRightInd w:val="0"/>
        <w:snapToGrid w:val="0"/>
        <w:spacing w:before="1" w:line="360" w:lineRule="auto"/>
        <w:ind w:left="287" w:right="10" w:firstLine="421"/>
        <w:textAlignment w:val="baseline"/>
        <w:rPr>
          <w:rFonts w:hint="eastAsia" w:ascii="仿宋" w:hAnsi="仿宋" w:eastAsia="仿宋" w:cs="仿宋"/>
          <w:sz w:val="30"/>
          <w:szCs w:val="30"/>
        </w:rPr>
      </w:pPr>
      <w:r>
        <w:rPr>
          <w:rFonts w:hint="eastAsia" w:ascii="仿宋" w:hAnsi="仿宋" w:eastAsia="仿宋" w:cs="仿宋"/>
          <w:spacing w:val="8"/>
          <w:sz w:val="30"/>
          <w:szCs w:val="30"/>
          <w:lang w:bidi="ar"/>
        </w:rPr>
        <w:t>2.绿化以水肥控</w:t>
      </w:r>
      <w:r>
        <w:rPr>
          <w:rFonts w:hint="eastAsia" w:ascii="仿宋" w:hAnsi="仿宋" w:eastAsia="仿宋" w:cs="仿宋"/>
          <w:spacing w:val="7"/>
          <w:sz w:val="30"/>
          <w:szCs w:val="30"/>
          <w:lang w:bidi="ar"/>
        </w:rPr>
        <w:t>制</w:t>
      </w:r>
      <w:r>
        <w:rPr>
          <w:rFonts w:hint="eastAsia" w:ascii="仿宋" w:hAnsi="仿宋" w:eastAsia="仿宋" w:cs="仿宋"/>
          <w:spacing w:val="4"/>
          <w:sz w:val="30"/>
          <w:szCs w:val="30"/>
          <w:lang w:bidi="ar"/>
        </w:rPr>
        <w:t>、花期调控、养护处理物无公害处理、巡查检修相结合等手段，通过精细化管理，</w:t>
      </w:r>
      <w:r>
        <w:rPr>
          <w:rFonts w:hint="eastAsia" w:ascii="仿宋" w:hAnsi="仿宋" w:eastAsia="仿宋" w:cs="仿宋"/>
          <w:spacing w:val="13"/>
          <w:sz w:val="30"/>
          <w:szCs w:val="30"/>
          <w:lang w:bidi="ar"/>
        </w:rPr>
        <w:t>使</w:t>
      </w:r>
      <w:r>
        <w:rPr>
          <w:rFonts w:hint="eastAsia" w:ascii="仿宋" w:hAnsi="仿宋" w:eastAsia="仿宋" w:cs="仿宋"/>
          <w:spacing w:val="7"/>
          <w:sz w:val="30"/>
          <w:szCs w:val="30"/>
          <w:lang w:bidi="ar"/>
        </w:rPr>
        <w:t>景观持续保持“四季常绿、两季有花”，配套设施处于良好的安全状态，保持绿化整体的美观性。</w:t>
      </w:r>
    </w:p>
    <w:bookmarkEnd w:id="2"/>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（二）绿化管理质量标准</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1．绿化自然和谐，健康整齐，景观效果明显。绿化养护技术措施完善，管理得当，植物配置科学合理。</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2．树木生长健壮，树冠完整美观，修剪科学合理，通风透光，无枯枝死杈。花灌木、绿篱、色块等修剪及时，枝叶茂密，整齐一致。行道树无缺株，绿化内无死树。</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3．草坪及地被植物整齐一致，覆盖率在98%以上。</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4．病虫害控制及时，叶片上无虫害、虫网。</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5．绿化整洁，无杂物、垃圾和污物。</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（三）园林绿化养护要求</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1．建立健全养护管理机制，实行可操作性的养护作业程序，配齐专业技术和管理人员，定人定岗固定养护工人，配置相应的养护机械，作业时需穿着统一制式的工作服，确保出勤率达到95%以上。</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2．根据广州地区的气候特点和各类植物的生长规律，制定科学的养护管理措施。</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3.园林设施应常年保持完好无破损，无残缺现象。</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4．加强盲点死角及人为破坏严重地段的养护管理，及时清理垃圾，保持干净整洁和植物良好长势，杜绝绿化盲点死角的形成；人为破坏严重地段要加强防护，及时补植苗木，保持植物良好长势。</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5．加强安全管理工作，做好文明养护及施工。养护人员上岗前必须进行岗前培训，养护作业时必须着统一制式的工作服，各种机械、机具的操作，要符合安全操作规程；绿化养护施工时，应进行围合或设置警示牌，防止事故发生。</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（四）园林绿化养护操作频度及检查标准</w:t>
      </w:r>
    </w:p>
    <w:p>
      <w:pPr>
        <w:widowControl/>
        <w:kinsoku w:val="0"/>
        <w:autoSpaceDE w:val="0"/>
        <w:autoSpaceDN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bidi="ar"/>
        </w:rPr>
        <w:t>1．灌溉。根据不同植物不同生长季节的天气情况合理浇水。夏季浇水应避开中午烈日。浇水做到一次浇透，相对均匀，不出现明显的局部积水现象。</w:t>
      </w:r>
      <w:bookmarkStart w:id="3" w:name="_Toc156797461"/>
      <w:r>
        <w:rPr>
          <w:rFonts w:hint="eastAsia" w:ascii="仿宋" w:hAnsi="仿宋" w:eastAsia="仿宋" w:cs="仿宋"/>
          <w:sz w:val="30"/>
          <w:szCs w:val="30"/>
          <w:lang w:bidi="ar"/>
        </w:rPr>
        <w:t>灌溉的设施应科学、合理，尽量采用喷灌或滴灌等节水灌溉方式灌溉，提高水的利用率，节省人工和水资源。</w:t>
      </w:r>
      <w:bookmarkEnd w:id="3"/>
      <w:r>
        <w:rPr>
          <w:rFonts w:hint="eastAsia" w:ascii="仿宋" w:hAnsi="仿宋" w:eastAsia="仿宋" w:cs="仿宋"/>
          <w:sz w:val="30"/>
          <w:szCs w:val="30"/>
          <w:lang w:bidi="ar"/>
        </w:rPr>
        <w:t>植物生长良好，能根据不同植物对水分的要求情况在干旱季节及时淋水，在多雨季节及时排涝。不出现因缺水或水分过多而导致花木的枯萎、腐烂或其他生长不良现象及草地积水现象。在无雨少雨季节定期喷水冲洗花木枝叶上的烟尘，为使植物能进行正常的光合作用而提供有利条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浇灌淋水频次参照以下标准，冬春两季（每年10月-来年3月）期间每月增加50%浇灌量，夏秋两季（每年4-9月）期间适度减少。</w:t>
      </w:r>
    </w:p>
    <w:tbl>
      <w:tblPr>
        <w:tblStyle w:val="1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965"/>
        <w:gridCol w:w="1671"/>
        <w:gridCol w:w="1849"/>
        <w:gridCol w:w="1630"/>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等级</w:t>
            </w:r>
          </w:p>
        </w:tc>
        <w:tc>
          <w:tcPr>
            <w:tcW w:w="26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类别</w:t>
            </w: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淋水次数/年</w:t>
            </w:r>
          </w:p>
        </w:tc>
        <w:tc>
          <w:tcPr>
            <w:tcW w:w="163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冬、春季/月</w:t>
            </w:r>
          </w:p>
        </w:tc>
        <w:tc>
          <w:tcPr>
            <w:tcW w:w="14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夏、秋季/月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二级</w:t>
            </w:r>
          </w:p>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养护</w:t>
            </w:r>
          </w:p>
        </w:tc>
        <w:tc>
          <w:tcPr>
            <w:tcW w:w="26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乔木</w:t>
            </w: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≥15</w:t>
            </w:r>
          </w:p>
        </w:tc>
        <w:tc>
          <w:tcPr>
            <w:tcW w:w="163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≥2</w:t>
            </w:r>
          </w:p>
        </w:tc>
        <w:tc>
          <w:tcPr>
            <w:tcW w:w="14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12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p>
        </w:tc>
        <w:tc>
          <w:tcPr>
            <w:tcW w:w="96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灌木</w:t>
            </w:r>
          </w:p>
        </w:tc>
        <w:tc>
          <w:tcPr>
            <w:tcW w:w="16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一般灌木</w:t>
            </w:r>
          </w:p>
        </w:tc>
        <w:tc>
          <w:tcPr>
            <w:tcW w:w="1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≥24</w:t>
            </w:r>
          </w:p>
        </w:tc>
        <w:tc>
          <w:tcPr>
            <w:tcW w:w="163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≥3</w:t>
            </w:r>
          </w:p>
        </w:tc>
        <w:tc>
          <w:tcPr>
            <w:tcW w:w="14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12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p>
        </w:tc>
        <w:tc>
          <w:tcPr>
            <w:tcW w:w="1671" w:type="dxa"/>
            <w:tcBorders>
              <w:top w:val="single" w:color="auto" w:sz="4" w:space="0"/>
              <w:left w:val="single" w:color="auto" w:sz="4" w:space="0"/>
              <w:bottom w:val="single" w:color="auto" w:sz="4" w:space="0"/>
              <w:right w:val="single" w:color="auto" w:sz="4" w:space="0"/>
            </w:tcBorders>
            <w:vAlign w:val="center"/>
          </w:tcPr>
          <w:p>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造型灌木</w:t>
            </w:r>
          </w:p>
        </w:tc>
        <w:tc>
          <w:tcPr>
            <w:tcW w:w="1849" w:type="dxa"/>
            <w:tcBorders>
              <w:top w:val="single" w:color="auto" w:sz="4" w:space="0"/>
              <w:left w:val="single" w:color="auto" w:sz="4" w:space="0"/>
              <w:bottom w:val="single" w:color="auto" w:sz="4" w:space="0"/>
              <w:right w:val="single" w:color="auto" w:sz="4" w:space="0"/>
            </w:tcBorders>
            <w:vAlign w:val="center"/>
          </w:tcPr>
          <w:p>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≥30</w:t>
            </w:r>
          </w:p>
        </w:tc>
        <w:tc>
          <w:tcPr>
            <w:tcW w:w="1630" w:type="dxa"/>
            <w:tcBorders>
              <w:top w:val="single" w:color="auto" w:sz="4" w:space="0"/>
              <w:left w:val="single" w:color="auto" w:sz="4" w:space="0"/>
              <w:bottom w:val="single" w:color="auto" w:sz="4" w:space="0"/>
              <w:right w:val="single" w:color="auto" w:sz="4" w:space="0"/>
            </w:tcBorders>
            <w:vAlign w:val="center"/>
          </w:tcPr>
          <w:p>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≥4</w:t>
            </w: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12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p>
        </w:tc>
        <w:tc>
          <w:tcPr>
            <w:tcW w:w="1671" w:type="dxa"/>
            <w:tcBorders>
              <w:top w:val="single" w:color="auto" w:sz="4" w:space="0"/>
              <w:left w:val="single" w:color="auto" w:sz="4" w:space="0"/>
              <w:bottom w:val="single" w:color="auto" w:sz="4" w:space="0"/>
              <w:right w:val="single" w:color="auto" w:sz="4" w:space="0"/>
            </w:tcBorders>
            <w:vAlign w:val="center"/>
          </w:tcPr>
          <w:p>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绿篱</w:t>
            </w:r>
          </w:p>
        </w:tc>
        <w:tc>
          <w:tcPr>
            <w:tcW w:w="1849" w:type="dxa"/>
            <w:tcBorders>
              <w:top w:val="single" w:color="auto" w:sz="4" w:space="0"/>
              <w:left w:val="single" w:color="auto" w:sz="4" w:space="0"/>
              <w:bottom w:val="single" w:color="auto" w:sz="4" w:space="0"/>
              <w:right w:val="single" w:color="auto" w:sz="4" w:space="0"/>
            </w:tcBorders>
            <w:vAlign w:val="center"/>
          </w:tcPr>
          <w:p>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≥24</w:t>
            </w:r>
          </w:p>
        </w:tc>
        <w:tc>
          <w:tcPr>
            <w:tcW w:w="1630" w:type="dxa"/>
            <w:tcBorders>
              <w:top w:val="single" w:color="auto" w:sz="4" w:space="0"/>
              <w:left w:val="single" w:color="auto" w:sz="4" w:space="0"/>
              <w:bottom w:val="single" w:color="auto" w:sz="4" w:space="0"/>
              <w:right w:val="single" w:color="auto" w:sz="4" w:space="0"/>
            </w:tcBorders>
            <w:vAlign w:val="center"/>
          </w:tcPr>
          <w:p>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≥3</w:t>
            </w: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12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p>
        </w:tc>
        <w:tc>
          <w:tcPr>
            <w:tcW w:w="1671" w:type="dxa"/>
            <w:tcBorders>
              <w:top w:val="single" w:color="auto" w:sz="4" w:space="0"/>
              <w:left w:val="single" w:color="auto" w:sz="4" w:space="0"/>
              <w:bottom w:val="single" w:color="auto" w:sz="4" w:space="0"/>
              <w:right w:val="single" w:color="auto" w:sz="4" w:space="0"/>
            </w:tcBorders>
            <w:vAlign w:val="center"/>
          </w:tcPr>
          <w:p>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地被</w:t>
            </w:r>
          </w:p>
        </w:tc>
        <w:tc>
          <w:tcPr>
            <w:tcW w:w="1849" w:type="dxa"/>
            <w:tcBorders>
              <w:top w:val="single" w:color="auto" w:sz="4" w:space="0"/>
              <w:left w:val="single" w:color="auto" w:sz="4" w:space="0"/>
              <w:bottom w:val="single" w:color="auto" w:sz="4" w:space="0"/>
              <w:right w:val="single" w:color="auto" w:sz="4" w:space="0"/>
            </w:tcBorders>
            <w:vAlign w:val="center"/>
          </w:tcPr>
          <w:p>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≥24</w:t>
            </w:r>
          </w:p>
        </w:tc>
        <w:tc>
          <w:tcPr>
            <w:tcW w:w="1630" w:type="dxa"/>
            <w:tcBorders>
              <w:top w:val="single" w:color="auto" w:sz="4" w:space="0"/>
              <w:left w:val="single" w:color="auto" w:sz="4" w:space="0"/>
              <w:bottom w:val="single" w:color="auto" w:sz="4" w:space="0"/>
              <w:right w:val="single" w:color="auto" w:sz="4" w:space="0"/>
            </w:tcBorders>
            <w:vAlign w:val="center"/>
          </w:tcPr>
          <w:p>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≥3</w:t>
            </w:r>
          </w:p>
        </w:tc>
        <w:tc>
          <w:tcPr>
            <w:tcW w:w="1479" w:type="dxa"/>
            <w:tcBorders>
              <w:top w:val="single" w:color="auto" w:sz="4" w:space="0"/>
              <w:left w:val="single" w:color="auto" w:sz="4" w:space="0"/>
              <w:bottom w:val="single" w:color="auto" w:sz="4" w:space="0"/>
              <w:right w:val="single" w:color="auto" w:sz="4" w:space="0"/>
            </w:tcBorders>
            <w:vAlign w:val="center"/>
          </w:tcPr>
          <w:p>
            <w:pPr>
              <w:tabs>
                <w:tab w:val="left" w:pos="630"/>
              </w:tabs>
              <w:spacing w:line="360" w:lineRule="auto"/>
              <w:rPr>
                <w:rFonts w:hint="eastAsia" w:ascii="仿宋" w:hAnsi="仿宋" w:eastAsia="仿宋" w:cs="仿宋"/>
                <w:sz w:val="30"/>
                <w:szCs w:val="30"/>
              </w:rPr>
            </w:pPr>
            <w:r>
              <w:rPr>
                <w:rFonts w:hint="eastAsia" w:ascii="仿宋" w:hAnsi="仿宋" w:eastAsia="仿宋" w:cs="仿宋"/>
                <w:sz w:val="30"/>
                <w:szCs w:val="30"/>
                <w:lang w:bidi="ar"/>
              </w:rPr>
              <w:t>≥2</w:t>
            </w:r>
          </w:p>
        </w:tc>
      </w:tr>
    </w:tbl>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施肥。乔木每年施肥二至三次，其中冬、春季施有机质肥8--10斤/株，其他时间施复合肥0.2斤/株次。灌木及绿篱地栽草花每年施肥4-6次，其中冬季施有机质肥3-5斤/平方米。其他时间施复合肥0.1斤/平方米次,草坪每年施肥4-6次（重点在春、秋季）,每次复合肥0.2市斤/平方米或尿素4-5市斤/亩（注施肥后应保证充足的水分供给,便于植物对肥料的吸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（1）乔木 肥料穴施或沟施，肥穴的规格一般为0.3m×0.3m×0.4m，挖沟的规格为0.3m×0.4m。挖穴或开沟的位置一般是树冠外缘的投线影（行道树除外），每株树挖对称的两穴或四穴，施肥后及时淋水。</w:t>
      </w:r>
    </w:p>
    <w:p>
      <w:pPr>
        <w:spacing w:line="360" w:lineRule="auto"/>
        <w:ind w:firstLine="600" w:firstLineChars="200"/>
        <w:rPr>
          <w:rFonts w:hint="eastAsia" w:ascii="仿宋" w:hAnsi="仿宋" w:eastAsia="仿宋" w:cs="仿宋"/>
          <w:sz w:val="30"/>
          <w:szCs w:val="30"/>
        </w:rPr>
      </w:pPr>
      <w:bookmarkStart w:id="4" w:name="_Toc156797466"/>
      <w:r>
        <w:rPr>
          <w:rFonts w:hint="eastAsia" w:ascii="仿宋" w:hAnsi="仿宋" w:eastAsia="仿宋" w:cs="仿宋"/>
          <w:sz w:val="30"/>
          <w:szCs w:val="30"/>
          <w:lang w:bidi="ar"/>
        </w:rPr>
        <w:t>（2）灌木 施肥视情况可采用沟施、撒施或穴施，也可结合灌溉进行施肥。沟施、撒施或穴施均应将肥料用土覆盖，且宜在施肥后进行一次灌溉。施肥应避免在雨天进行；除根外追肥外，肥料不得触及叶片。</w:t>
      </w:r>
      <w:bookmarkEnd w:id="4"/>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（3）草坪及地被 生长季节可根据具体情况施用追肥，施用方法和用量要科学，防止过量或不均匀引起肥伤。追肥应以复合肥料和有机肥为主，追肥的时间和数量应根据土壤肥力、草种和草坪生长情况而定。施肥可采用撒施和根外追肥。追肥方法以勤施薄施为原则，在11月至次年2月份，适当进行根外追肥，增施磷钾肥，使草坪保持优良的长势度过干旱的秋、冬季。</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（4）肥料应当天放置并施放，不能在绿地上过夜堆放肥料，且必须装袋，摆放整齐。</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（5）施肥时间应选在早上十点之前、下午四点以后，避免阳光强射和雨天施肥。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6）施肥应尽量保护地被等植物，穴施、条施等对绿地景观影响的施肥方式应当天开挖、施肥、覆土和恢复植被；肥料撒施应确保肥料撒在土壤上，不宜有肥料残留在植物叶片上；叶面施肥应尽量使肥料充分溶于水，确保不灼伤叶片。</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（7）灌木施肥应结合松土和除杂，清除的杂草应及时清理。</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绿地保洁。绿化土质疏松，无杂草、无杂物、无白色污染和建筑垃圾；绿化垃圾及时清运，大片植物叶面无明显积尘，草坪及地被植物整齐，无渍水、无旱象，草坪边缘切割整齐且无杂草；绿化设施没有乱贴乱涂乱画痕迹，花草树木上无贴挂标语、晾晒衣物等悬挂物。</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（1）绿地保洁工作必须按照重点区域随产随清、其他区域日产日清的原则完成，保持绿地整洁美观。</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（2）垃圾处理应遵循分类化、减量化原则。树叶和草屑必须袋装，植物枝条捆绑整齐，树叶和草屑可尽量就地处理，促进物质循环。</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（3）绿地的垃圾应当天清运，在绿地上的临时堆放点必须设在隐蔽处，并严格控制堆放面积。</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4．补植</w:t>
      </w:r>
    </w:p>
    <w:p>
      <w:pPr>
        <w:spacing w:line="360" w:lineRule="auto"/>
        <w:ind w:firstLine="600" w:firstLineChars="200"/>
        <w:rPr>
          <w:rFonts w:hint="eastAsia" w:ascii="仿宋" w:hAnsi="仿宋" w:eastAsia="仿宋" w:cs="仿宋"/>
          <w:sz w:val="30"/>
          <w:szCs w:val="30"/>
        </w:rPr>
      </w:pPr>
      <w:bookmarkStart w:id="5" w:name="_Toc156797480"/>
      <w:r>
        <w:rPr>
          <w:rFonts w:hint="eastAsia" w:ascii="仿宋" w:hAnsi="仿宋" w:eastAsia="仿宋" w:cs="仿宋"/>
          <w:sz w:val="30"/>
          <w:szCs w:val="30"/>
          <w:lang w:bidi="ar"/>
        </w:rPr>
        <w:t>（1）发现死苗及时清理，及时补回原种植的种类（区域内已明确不再使用的树种除外），规格应尽量与原来植株接近。补种时行道树胸径原则上不少于10cm，灌木地被应选择健壮植株，以保证优良的景观效果。补植按照种植要求进行，施足基肥，并加强淋水等保养措施。对已呈老化、明显与周围环境不协调或对生长环境不适应的乔木应及时进行改植，改植须与原景观相协调。</w:t>
      </w:r>
      <w:bookmarkEnd w:id="5"/>
      <w:bookmarkStart w:id="6" w:name="_Toc156797481"/>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（2）对因病虫害致死的植物，应按照植保技术人员的专业意见，进行清理、消毒等处理后再进行补植。</w:t>
      </w:r>
      <w:bookmarkEnd w:id="6"/>
      <w:bookmarkStart w:id="7" w:name="_Toc156797482"/>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（3）容器苗的补植不受季节限制，地栽苗的补植季节为：落叶树应在发芽以前或在秋季落叶以后进行补植；针叶树、常绿阔叶树应在发芽以前或在秋季新稍木质化以后补植。</w:t>
      </w:r>
      <w:bookmarkEnd w:id="7"/>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补种苗木的规格、品种应与原苗木基本相同，枯死、裸露地块要先进行土壤改良，然后根据原苗木品种、植物生长条件及周边环境，在一周内完成补植或更换适宜的苗木品种。对长势不良的地被植物，要及时清理枯枝败叶，有计划进行松土施肥，改善植物生长条件，恢复植物良好长势。</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（5）养护补植时间及成活率要求如下:</w:t>
      </w:r>
    </w:p>
    <w:tbl>
      <w:tblPr>
        <w:tblStyle w:val="1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285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植物种类</w:t>
            </w:r>
          </w:p>
        </w:tc>
        <w:tc>
          <w:tcPr>
            <w:tcW w:w="2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质量项目</w:t>
            </w:r>
          </w:p>
        </w:tc>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二级养护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一、二年生草本、宿根及球根花卉</w:t>
            </w:r>
          </w:p>
        </w:tc>
        <w:tc>
          <w:tcPr>
            <w:tcW w:w="2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补植完成时间</w:t>
            </w:r>
          </w:p>
        </w:tc>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1天内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p>
        </w:tc>
        <w:tc>
          <w:tcPr>
            <w:tcW w:w="2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补植成活率</w:t>
            </w:r>
          </w:p>
        </w:tc>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灌木与地被</w:t>
            </w:r>
          </w:p>
        </w:tc>
        <w:tc>
          <w:tcPr>
            <w:tcW w:w="2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补植完成时间</w:t>
            </w:r>
          </w:p>
        </w:tc>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2天内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p>
        </w:tc>
        <w:tc>
          <w:tcPr>
            <w:tcW w:w="2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补植成活率</w:t>
            </w:r>
          </w:p>
        </w:tc>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乔木</w:t>
            </w:r>
          </w:p>
        </w:tc>
        <w:tc>
          <w:tcPr>
            <w:tcW w:w="2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补植完成时间</w:t>
            </w:r>
          </w:p>
        </w:tc>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5天内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43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p>
        </w:tc>
        <w:tc>
          <w:tcPr>
            <w:tcW w:w="2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补植成活率</w:t>
            </w:r>
          </w:p>
        </w:tc>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100%</w:t>
            </w:r>
          </w:p>
        </w:tc>
      </w:tr>
    </w:tbl>
    <w:p>
      <w:pPr>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lang w:bidi="ar"/>
        </w:rPr>
        <w:t>5．修剪</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乔木应根据树木的生长特性及绿化景观要求进行修剪，加强行道树修剪，保持形态、树冠大小均匀一致，折断或劈裂枝应及时去除残桩，修平断口并做好防腐处理。修剪内容主要包括：荫生枝、内膛枝、徒长枝、病弱枝、下垂枝、重叠枝、榕树气生根及遮挡交通标志牌的枝条，在确保树形完整的同时增加通风透光度，促进树木健康生长。花灌木应及时修剪，造型灌木及绿篱应常年保持形态完整，乔木、灌木、地被应保持景观层次清晰，线条流畅。地被植物及草坪应随时修剪，保持绿地内各类地被植物覆盖完好，平整无杂草，无黄土裸露。</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（2）进行修剪作业前，充分评估作业风险，并做好事前计划、审核工作；修剪作业时，做好职责分工，现场应有三人以上协同作业、配备足够的安全保障设施和专职安全员，确保安全和高效。</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（3）发现乔灌木断枝、遮挡照明设施以及影响建筑物和其它公共安全隐患等情况，应及时进行处理。枯枝断枝、死株树木必须2小时内处理完毕。</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（4）修剪产生的枝叶应及时归堆、清运，不得影响车辆和行人通行。</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bCs/>
          <w:sz w:val="30"/>
          <w:szCs w:val="30"/>
          <w:lang w:bidi="ar"/>
        </w:rPr>
        <w:t>6．除草。</w:t>
      </w:r>
      <w:r>
        <w:rPr>
          <w:rFonts w:hint="eastAsia" w:ascii="仿宋" w:hAnsi="仿宋" w:eastAsia="仿宋" w:cs="仿宋"/>
          <w:sz w:val="30"/>
          <w:szCs w:val="30"/>
          <w:lang w:bidi="ar"/>
        </w:rPr>
        <w:t>乔灌木每年中耕5-6次，植物无寄生植物，树盘周围无杂草，土壤疏松、透气无板结。各地草花边界清晰，草坪杂草含量率低于7%，草坪覆盖率达到95%以上，纯净度应达到95%以上，无明显恶性杂草，无高于观赏植物的杂草杂树。</w:t>
      </w:r>
    </w:p>
    <w:p>
      <w:pPr>
        <w:autoSpaceDE w:val="0"/>
        <w:autoSpaceDN w:val="0"/>
        <w:adjustRightInd w:val="0"/>
        <w:spacing w:line="360" w:lineRule="auto"/>
        <w:ind w:firstLine="600" w:firstLineChars="200"/>
        <w:rPr>
          <w:rFonts w:hint="eastAsia" w:ascii="仿宋" w:hAnsi="仿宋" w:eastAsia="仿宋" w:cs="仿宋"/>
          <w:sz w:val="30"/>
          <w:szCs w:val="30"/>
        </w:rPr>
      </w:pPr>
      <w:r>
        <w:rPr>
          <w:rFonts w:hint="eastAsia" w:ascii="仿宋" w:hAnsi="仿宋" w:eastAsia="仿宋" w:cs="仿宋"/>
          <w:bCs/>
          <w:sz w:val="30"/>
          <w:szCs w:val="30"/>
          <w:lang w:bidi="ar"/>
        </w:rPr>
        <w:t>7．病虫害治理。</w:t>
      </w:r>
      <w:r>
        <w:rPr>
          <w:rFonts w:hint="eastAsia" w:ascii="仿宋" w:hAnsi="仿宋" w:eastAsia="仿宋" w:cs="仿宋"/>
          <w:sz w:val="30"/>
          <w:szCs w:val="30"/>
          <w:lang w:bidi="ar"/>
        </w:rPr>
        <w:t>遵循“以防为主，综合防治”的原则。每季度全面喷药一次，每月对主要观赏植物、易受虫危害的植物喷药一次。植物无明显病虫害现象，发现病虫及时防治，不使用剧毒及具强刺激性气味的药物。每周不少于2次，安排人员到防控区域巡查。使用药物，要设置安全警示牌、温馨提示牌等，避免市民靠近接触农药；禁止使用“大雾量”、“雨淋式”的喷药方式。施药时间禁止在中午且高温下或雨天等不适宜施药的天气进行施药作业。</w:t>
      </w:r>
    </w:p>
    <w:p>
      <w:pPr>
        <w:pStyle w:val="23"/>
        <w:widowControl/>
        <w:spacing w:line="360" w:lineRule="auto"/>
        <w:ind w:firstLine="636" w:firstLineChars="200"/>
        <w:jc w:val="both"/>
        <w:rPr>
          <w:rFonts w:ascii="仿宋" w:hAnsi="仿宋" w:eastAsia="仿宋" w:cs="仿宋"/>
          <w:color w:val="auto"/>
          <w:sz w:val="30"/>
          <w:szCs w:val="30"/>
        </w:rPr>
      </w:pPr>
      <w:r>
        <w:rPr>
          <w:rFonts w:ascii="仿宋" w:hAnsi="仿宋" w:eastAsia="仿宋" w:cs="仿宋"/>
          <w:color w:val="auto"/>
          <w:spacing w:val="9"/>
          <w:sz w:val="30"/>
          <w:szCs w:val="30"/>
        </w:rPr>
        <w:t>（五）设施管养要求</w:t>
      </w:r>
    </w:p>
    <w:p>
      <w:pPr>
        <w:pStyle w:val="23"/>
        <w:widowControl/>
        <w:spacing w:line="360" w:lineRule="auto"/>
        <w:ind w:firstLine="600" w:firstLineChars="200"/>
        <w:jc w:val="both"/>
        <w:rPr>
          <w:rFonts w:ascii="仿宋" w:hAnsi="仿宋" w:eastAsia="仿宋" w:cs="仿宋"/>
          <w:color w:val="auto"/>
          <w:sz w:val="30"/>
          <w:szCs w:val="30"/>
        </w:rPr>
      </w:pPr>
      <w:r>
        <w:rPr>
          <w:rFonts w:ascii="仿宋" w:hAnsi="仿宋" w:eastAsia="仿宋" w:cs="仿宋"/>
          <w:color w:val="auto"/>
          <w:sz w:val="30"/>
          <w:szCs w:val="30"/>
        </w:rPr>
        <w:t>1.总体要求</w:t>
      </w:r>
    </w:p>
    <w:p>
      <w:pPr>
        <w:pStyle w:val="23"/>
        <w:widowControl/>
        <w:spacing w:line="360" w:lineRule="auto"/>
        <w:ind w:firstLine="600" w:firstLineChars="200"/>
        <w:jc w:val="both"/>
        <w:rPr>
          <w:rFonts w:ascii="仿宋" w:hAnsi="仿宋" w:eastAsia="仿宋" w:cs="仿宋"/>
          <w:color w:val="auto"/>
          <w:sz w:val="30"/>
          <w:szCs w:val="30"/>
        </w:rPr>
      </w:pPr>
      <w:r>
        <w:rPr>
          <w:rFonts w:ascii="仿宋" w:hAnsi="仿宋" w:eastAsia="仿宋" w:cs="仿宋"/>
          <w:color w:val="auto"/>
          <w:sz w:val="30"/>
          <w:szCs w:val="30"/>
        </w:rPr>
        <w:t>设施养护技术应符合《园林绿地养护管理技术规范》（DB4401/T6-2018）园林设施养护技术规程，设施保持功能完好、使用安全、面貌整洁美观，易锈蚀的金属构件应每年除锈并油漆。</w:t>
      </w:r>
    </w:p>
    <w:p>
      <w:pPr>
        <w:pStyle w:val="23"/>
        <w:widowControl/>
        <w:spacing w:line="360" w:lineRule="auto"/>
        <w:ind w:firstLine="600" w:firstLineChars="200"/>
        <w:jc w:val="both"/>
        <w:rPr>
          <w:rFonts w:ascii="仿宋" w:hAnsi="仿宋" w:eastAsia="仿宋" w:cs="仿宋"/>
          <w:color w:val="auto"/>
          <w:sz w:val="30"/>
          <w:szCs w:val="30"/>
        </w:rPr>
      </w:pPr>
      <w:r>
        <w:rPr>
          <w:rFonts w:ascii="仿宋" w:hAnsi="仿宋" w:eastAsia="仿宋" w:cs="仿宋"/>
          <w:color w:val="auto"/>
          <w:sz w:val="30"/>
          <w:szCs w:val="30"/>
        </w:rPr>
        <w:t>2.工作要求</w:t>
      </w:r>
    </w:p>
    <w:p>
      <w:pPr>
        <w:pStyle w:val="23"/>
        <w:widowControl/>
        <w:spacing w:line="360" w:lineRule="auto"/>
        <w:ind w:firstLine="600" w:firstLineChars="200"/>
        <w:jc w:val="both"/>
        <w:rPr>
          <w:rFonts w:ascii="仿宋" w:hAnsi="仿宋" w:eastAsia="仿宋" w:cs="仿宋"/>
          <w:color w:val="auto"/>
          <w:sz w:val="30"/>
          <w:szCs w:val="30"/>
        </w:rPr>
      </w:pPr>
      <w:r>
        <w:rPr>
          <w:rFonts w:ascii="仿宋" w:hAnsi="仿宋" w:eastAsia="仿宋" w:cs="仿宋"/>
          <w:color w:val="auto"/>
          <w:kern w:val="2"/>
          <w:sz w:val="30"/>
          <w:szCs w:val="30"/>
        </w:rPr>
        <w:t>（1）建立公园设施档案，做好巡查记录和维修记录（文字和图像），制定设施管理制度、巡查制度、维修保养计划，编制月度计量支付结算报表等。</w:t>
      </w:r>
    </w:p>
    <w:p>
      <w:pPr>
        <w:pStyle w:val="11"/>
        <w:widowControl/>
        <w:tabs>
          <w:tab w:val="left" w:pos="142"/>
          <w:tab w:val="left" w:pos="1050"/>
        </w:tabs>
        <w:spacing w:line="360" w:lineRule="auto"/>
        <w:ind w:firstLine="600" w:firstLineChars="200"/>
        <w:contextualSpacing/>
        <w:jc w:val="both"/>
        <w:rPr>
          <w:rFonts w:hint="eastAsia" w:ascii="仿宋" w:hAnsi="仿宋" w:eastAsia="仿宋" w:cs="仿宋"/>
          <w:sz w:val="30"/>
          <w:szCs w:val="30"/>
        </w:rPr>
      </w:pPr>
      <w:r>
        <w:rPr>
          <w:rFonts w:hint="eastAsia" w:ascii="仿宋" w:hAnsi="仿宋" w:eastAsia="仿宋" w:cs="仿宋"/>
          <w:kern w:val="2"/>
          <w:sz w:val="30"/>
          <w:szCs w:val="30"/>
        </w:rPr>
        <w:t>（2）巡查发现问题要做好文字记录和图像存档，并及时上报采购人申请维修。存在安全隐患要及时排除，如无法及时排除隐患需先做好现场保护，确保安全事故不发生。</w:t>
      </w:r>
    </w:p>
    <w:p>
      <w:pPr>
        <w:pStyle w:val="11"/>
        <w:widowControl/>
        <w:tabs>
          <w:tab w:val="left" w:pos="142"/>
          <w:tab w:val="left" w:pos="1050"/>
        </w:tabs>
        <w:spacing w:line="360" w:lineRule="auto"/>
        <w:ind w:firstLine="600" w:firstLineChars="200"/>
        <w:contextualSpacing/>
        <w:jc w:val="both"/>
        <w:rPr>
          <w:rFonts w:hint="eastAsia" w:ascii="仿宋" w:hAnsi="仿宋" w:eastAsia="仿宋" w:cs="仿宋"/>
          <w:sz w:val="30"/>
          <w:szCs w:val="30"/>
        </w:rPr>
      </w:pPr>
      <w:r>
        <w:rPr>
          <w:rFonts w:hint="eastAsia" w:ascii="仿宋" w:hAnsi="仿宋" w:eastAsia="仿宋" w:cs="仿宋"/>
          <w:kern w:val="2"/>
          <w:sz w:val="30"/>
          <w:szCs w:val="30"/>
        </w:rPr>
        <w:t>（3）设施维修过程做好安全文明施工，维修选用材料须安全、环保、无毒、无刺激气味，符合有关规定规范要求，满足户外使用要求。</w:t>
      </w:r>
    </w:p>
    <w:p>
      <w:pPr>
        <w:pStyle w:val="11"/>
        <w:widowControl/>
        <w:tabs>
          <w:tab w:val="left" w:pos="142"/>
          <w:tab w:val="left" w:pos="1050"/>
        </w:tabs>
        <w:spacing w:line="360" w:lineRule="auto"/>
        <w:ind w:firstLine="600" w:firstLineChars="200"/>
        <w:contextualSpacing/>
        <w:jc w:val="both"/>
        <w:rPr>
          <w:rFonts w:hint="eastAsia" w:ascii="仿宋" w:hAnsi="仿宋" w:eastAsia="仿宋" w:cs="仿宋"/>
          <w:sz w:val="30"/>
          <w:szCs w:val="30"/>
        </w:rPr>
      </w:pPr>
      <w:r>
        <w:rPr>
          <w:rFonts w:hint="eastAsia" w:ascii="仿宋" w:hAnsi="仿宋" w:eastAsia="仿宋" w:cs="仿宋"/>
          <w:kern w:val="2"/>
          <w:sz w:val="30"/>
          <w:szCs w:val="30"/>
        </w:rPr>
        <w:t>（4）设施维护范围包括但不限以上清单内容，具体维护内容以中标人巡查发现提出并经采购人同意或采购人直接下达任务为准，中标人须按期按量完成采购人下达的任务，不得有任何理由拒绝。</w:t>
      </w:r>
    </w:p>
    <w:p>
      <w:pPr>
        <w:pStyle w:val="23"/>
        <w:widowControl/>
        <w:spacing w:line="360" w:lineRule="auto"/>
        <w:ind w:firstLine="600" w:firstLineChars="200"/>
        <w:jc w:val="both"/>
        <w:rPr>
          <w:rFonts w:ascii="仿宋" w:hAnsi="仿宋" w:eastAsia="仿宋" w:cs="仿宋"/>
          <w:color w:val="auto"/>
          <w:sz w:val="30"/>
          <w:szCs w:val="30"/>
        </w:rPr>
      </w:pPr>
      <w:r>
        <w:rPr>
          <w:rFonts w:ascii="仿宋" w:hAnsi="仿宋" w:eastAsia="仿宋" w:cs="仿宋"/>
          <w:color w:val="auto"/>
          <w:kern w:val="2"/>
          <w:sz w:val="30"/>
          <w:szCs w:val="30"/>
        </w:rPr>
        <w:t>（5）维修要及时，如发生水、电故障，维修人员要求10分钟内到位维修，其他设施维修要求接报后次日马上安排人员开展维修。</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三、考核办法</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（一）巡查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中标人填写《绿化养护单位工作日志》，反映日常养护管理工作内容和巡查情况，发现问题及时整改。采购人对养护管理情况进行检查考核，考核结果与养护费支付挂钩。</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（二）考核</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由采购人负责考核。实行百分制，月度考核，采用《广州医科大学附属中医医院绿化服务项目考核评分表》，</w:t>
      </w:r>
    </w:p>
    <w:tbl>
      <w:tblPr>
        <w:tblStyle w:val="1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2363"/>
        <w:gridCol w:w="4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月度综合考核评分</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养护等级评定</w:t>
            </w:r>
          </w:p>
        </w:tc>
        <w:tc>
          <w:tcPr>
            <w:tcW w:w="44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当月“月度养护费”支付扣减金额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高于90分（含）</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200" w:firstLineChars="400"/>
              <w:rPr>
                <w:rFonts w:hint="eastAsia" w:ascii="仿宋" w:hAnsi="仿宋" w:eastAsia="仿宋" w:cs="仿宋"/>
                <w:sz w:val="30"/>
                <w:szCs w:val="30"/>
              </w:rPr>
            </w:pPr>
            <w:r>
              <w:rPr>
                <w:rFonts w:hint="eastAsia" w:ascii="仿宋" w:hAnsi="仿宋" w:eastAsia="仿宋" w:cs="仿宋"/>
                <w:sz w:val="30"/>
                <w:szCs w:val="30"/>
                <w:lang w:bidi="ar"/>
              </w:rPr>
              <w:t>合格</w:t>
            </w:r>
          </w:p>
        </w:tc>
        <w:tc>
          <w:tcPr>
            <w:tcW w:w="44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不扣减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60-90分（不含）</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基本合格</w:t>
            </w:r>
          </w:p>
        </w:tc>
        <w:tc>
          <w:tcPr>
            <w:tcW w:w="44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对比90分，每扣1分扣500元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2" w:type="dxa"/>
            <w:tcBorders>
              <w:top w:val="single" w:color="auto" w:sz="4" w:space="0"/>
              <w:left w:val="single" w:color="auto" w:sz="4" w:space="0"/>
              <w:bottom w:val="single" w:color="auto" w:sz="4" w:space="0"/>
              <w:right w:val="single" w:color="auto" w:sz="4" w:space="0"/>
            </w:tcBorders>
            <w:vAlign w:val="center"/>
          </w:tcPr>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低于60分（不含）</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不合格</w:t>
            </w:r>
          </w:p>
        </w:tc>
        <w:tc>
          <w:tcPr>
            <w:tcW w:w="44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t>扣减当月全部养护费</w:t>
            </w:r>
          </w:p>
        </w:tc>
      </w:tr>
    </w:tbl>
    <w:p>
      <w:pPr>
        <w:spacing w:line="360" w:lineRule="auto"/>
        <w:ind w:firstLine="600" w:firstLineChars="200"/>
        <w:rPr>
          <w:rFonts w:hint="eastAsia" w:ascii="仿宋" w:hAnsi="仿宋" w:eastAsia="仿宋" w:cs="仿宋"/>
          <w:b/>
          <w:sz w:val="30"/>
          <w:szCs w:val="30"/>
        </w:rPr>
      </w:pPr>
      <w:r>
        <w:rPr>
          <w:rFonts w:hint="eastAsia" w:ascii="仿宋" w:hAnsi="仿宋" w:eastAsia="仿宋" w:cs="仿宋"/>
          <w:bCs/>
          <w:sz w:val="30"/>
          <w:szCs w:val="30"/>
          <w:lang w:bidi="ar"/>
        </w:rPr>
        <w:t>（四）处罚条款</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合同对中标人的各种人员的到位情况和任职是作为一种条件来要求的(特别是项目经理部的主要管理人员、主要技术人员)。必须保证投标文件中拟定的项目负责人及其主要管理人员和技术人员能及时的、始终的参与本项目管理，未经采购人同意，不得随意更换。人员配备需满足采购需求，实际到岗人数每少1名的，每人次扣1000元，并同时扣减当月月度考核评分。</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2.月度综合考核评分满分为100分。如月度综合考核评分为60-94分（含），每扣减1分，处罚扣款500元，如月度综合考核评分为60分（不含）以下，则扣减当月全部养护费。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由于中标人巡查不力、维修养护不善或养护不文明，致使管养范围内的绿化设施损坏或缺失，由此产生的人员伤亡事故责任及赔偿费用由中标人负责，而又被新闻媒体曝光，各级领导被问责的，除在本月度检查扣分外，每次每处罚款5000元；经采购人或项目管理单位督促但两日内不落实整改的，情节恶劣、造成重大负面影响的，采购人有权单方解除合同，并要求中标人赔偿因此而造成的全部损失。</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6.不按照规定对设施组织每日巡视和经常检查，巡查人员没有统一着装，并配带明显标志。每次每人扣一分并罚款50元。</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四、安全防护和应急处理措施</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建立、健全突发性事故应急预案，遇到险情养护责任人应在第一时间将事故概况上报采购人或项目管理单位或绿化主管部门，并按照应急预案，迅速排除安全隐患。</w:t>
      </w:r>
    </w:p>
    <w:p>
      <w:pPr>
        <w:spacing w:line="360" w:lineRule="auto"/>
        <w:ind w:firstLine="600" w:firstLineChars="200"/>
        <w:rPr>
          <w:rFonts w:hint="eastAsia" w:ascii="仿宋" w:hAnsi="仿宋" w:eastAsia="仿宋" w:cs="仿宋"/>
          <w:bCs/>
          <w:sz w:val="30"/>
          <w:szCs w:val="30"/>
        </w:rPr>
      </w:pPr>
      <w:r>
        <w:rPr>
          <w:rFonts w:hint="eastAsia" w:ascii="仿宋" w:hAnsi="仿宋" w:eastAsia="仿宋" w:cs="仿宋"/>
          <w:bCs/>
          <w:sz w:val="30"/>
          <w:szCs w:val="30"/>
          <w:lang w:bidi="ar"/>
        </w:rPr>
        <w:t>（一）建立应急救灾队伍，落实责任、人员、物资等</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根据气象部门发布的灾害性气候等级，认真而有效地落实抗旱、防汛、防风等应急措施。</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（二）做好灾害性天气应对工作</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在市气象台发出暴雨、台风预警信号后，安排抢险人员值班，立即对养护范围进行巡查，组织力量对新种植树木、倾斜严重的树木、病虫害严重树木、道路风口处树木以及其它存在安全隐患的树木进行加固、支撑，并将加固、支撑的数量及时统计上报。树木支撑要做到科学合理，尤其是行道树的加固、支撑，要特别注意车辆行人通行安全。预警信号解除后，应及时拆除影响交通或有碍景观的支撑物。</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（三）处理好突发性事件应急工作</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遇到灾害性天气，听从主管部门的统一指挥，及时组织人员抗旱、防汛、防风。遇到树木斜倒时，根据主管部门的要求，及时做好清障扶正工作。</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（四）遇到临时性、突击性任务要求</w:t>
      </w:r>
    </w:p>
    <w:p>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bidi="ar"/>
        </w:rPr>
        <w:t>如重要会议、参观、创文检查、重点工程、及上级布置的重大任务时，养护单位应按要求顾全大局，认真做好绿化景观提升工作，保持绿地干净整洁，景观效果达到最佳状态。</w:t>
      </w:r>
      <w:r>
        <w:rPr>
          <w:rFonts w:hint="eastAsia" w:ascii="仿宋" w:hAnsi="仿宋" w:eastAsia="仿宋" w:cs="仿宋"/>
          <w:sz w:val="30"/>
          <w:szCs w:val="30"/>
          <w:lang w:bidi="ar"/>
        </w:rPr>
        <w:br w:type="page"/>
      </w:r>
      <w:r>
        <w:rPr>
          <w:rFonts w:hint="eastAsia" w:ascii="仿宋" w:hAnsi="仿宋" w:eastAsia="仿宋" w:cs="仿宋"/>
          <w:b/>
          <w:bCs/>
          <w:color w:val="000000"/>
          <w:sz w:val="30"/>
          <w:szCs w:val="30"/>
          <w:lang w:bidi="ar"/>
        </w:rPr>
        <w:t>附件</w:t>
      </w:r>
      <w:r>
        <w:rPr>
          <w:rFonts w:hint="eastAsia" w:ascii="仿宋" w:hAnsi="仿宋" w:eastAsia="仿宋" w:cs="仿宋"/>
          <w:b/>
          <w:bCs/>
          <w:color w:val="000000"/>
          <w:sz w:val="30"/>
          <w:szCs w:val="30"/>
          <w:lang w:val="en-US" w:eastAsia="zh-CN" w:bidi="ar"/>
        </w:rPr>
        <w:t>3</w:t>
      </w:r>
    </w:p>
    <w:p>
      <w:pPr>
        <w:spacing w:line="360" w:lineRule="auto"/>
        <w:jc w:val="center"/>
        <w:rPr>
          <w:rFonts w:hint="eastAsia" w:ascii="仿宋" w:hAnsi="仿宋" w:eastAsia="仿宋" w:cs="仿宋"/>
          <w:b/>
          <w:sz w:val="30"/>
          <w:szCs w:val="30"/>
        </w:rPr>
      </w:pPr>
      <w:r>
        <w:rPr>
          <w:rFonts w:hint="eastAsia" w:ascii="仿宋" w:hAnsi="仿宋" w:eastAsia="仿宋" w:cs="仿宋"/>
          <w:b/>
          <w:bCs/>
          <w:sz w:val="30"/>
          <w:szCs w:val="30"/>
          <w:lang w:bidi="ar"/>
        </w:rPr>
        <w:t>广州医科大学附属中医医院</w:t>
      </w:r>
      <w:r>
        <w:rPr>
          <w:rFonts w:hint="eastAsia" w:ascii="仿宋" w:hAnsi="仿宋" w:eastAsia="仿宋" w:cs="仿宋"/>
          <w:b/>
          <w:sz w:val="30"/>
          <w:szCs w:val="30"/>
          <w:lang w:bidi="ar"/>
        </w:rPr>
        <w:t>绿化服务项目巡查内容</w:t>
      </w:r>
    </w:p>
    <w:p>
      <w:pPr>
        <w:spacing w:line="360" w:lineRule="auto"/>
        <w:rPr>
          <w:rFonts w:hint="eastAsia" w:ascii="仿宋" w:hAnsi="仿宋" w:eastAsia="仿宋" w:cs="仿宋"/>
          <w:b/>
          <w:sz w:val="30"/>
          <w:szCs w:val="30"/>
        </w:rPr>
      </w:pPr>
      <w:r>
        <w:rPr>
          <w:rFonts w:hint="eastAsia" w:ascii="仿宋" w:hAnsi="仿宋" w:eastAsia="仿宋" w:cs="仿宋"/>
          <w:b/>
          <w:sz w:val="30"/>
          <w:szCs w:val="30"/>
          <w:lang w:bidi="ar"/>
        </w:rPr>
        <w:t>一、乔木</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1.缺株（有树穴但无树木）、死株现象。</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2.对于需加固支撑的树木，支撑缺失、绑扎支撑的竹绳或横板不完整。</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3.绿化安全隐患，可能危及公共财产或人生安全的情况。如树上有较大型枯枝，树干倾斜角度过大，树身空洞严重。</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4.树上有明显钉挂物或悬挂物。</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6.植物病虫害，如叶片有大面积虫孔、病斑，树上有虫掉落，叶片枯黄或有焦斑等。</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7.树穴堆放垃圾（石砾、砖块）或积水，原来种植地被的树穴地被缺失，树穴压条及树穴砖破损。</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8.树木修剪后，残枝树叶未及时清运。</w:t>
      </w:r>
    </w:p>
    <w:p>
      <w:pPr>
        <w:spacing w:line="360" w:lineRule="auto"/>
        <w:ind w:firstLine="600" w:firstLineChars="200"/>
        <w:rPr>
          <w:rFonts w:hint="eastAsia" w:ascii="仿宋" w:hAnsi="仿宋" w:eastAsia="仿宋" w:cs="仿宋"/>
          <w:b/>
          <w:sz w:val="30"/>
          <w:szCs w:val="30"/>
        </w:rPr>
      </w:pPr>
      <w:r>
        <w:rPr>
          <w:rFonts w:hint="eastAsia" w:ascii="仿宋" w:hAnsi="仿宋" w:eastAsia="仿宋" w:cs="仿宋"/>
          <w:sz w:val="30"/>
          <w:szCs w:val="30"/>
          <w:lang w:bidi="ar"/>
        </w:rPr>
        <w:t>9.不按养护技术规范修剪的情况。如修剪过重，严重影响植物生长及道路景观，或修剪不及时，存在大量徒长枝、枯枝、阴枝、内膛枝，影响行人行走。</w:t>
      </w:r>
    </w:p>
    <w:p>
      <w:pPr>
        <w:spacing w:line="360" w:lineRule="auto"/>
        <w:rPr>
          <w:rFonts w:hint="eastAsia" w:ascii="仿宋" w:hAnsi="仿宋" w:eastAsia="仿宋" w:cs="仿宋"/>
          <w:b/>
          <w:sz w:val="30"/>
          <w:szCs w:val="30"/>
        </w:rPr>
      </w:pPr>
      <w:r>
        <w:rPr>
          <w:rFonts w:hint="eastAsia" w:ascii="仿宋" w:hAnsi="仿宋" w:eastAsia="仿宋" w:cs="仿宋"/>
          <w:b/>
          <w:sz w:val="30"/>
          <w:szCs w:val="30"/>
          <w:lang w:bidi="ar"/>
        </w:rPr>
        <w:t>二、绿地</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1.绿地内缺株、死株现象，或树木倾斜，有明显枯枝、断枝，有明显寄生植物。</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2.树木及灌木上有明显钉挂或悬挂物。</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3.地被及草地有明显杂草或大面积缺失，黄土裸露。</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4.植物修剪不及时，景观层次杂乱，灌木空脚或地被老化。</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5.时花明显缺株、枯萎、老化。</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6.植物生长明显不正常，如大面积落叶、枝条及树干枯萎等。</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7.病、虫、草害显著。</w:t>
      </w:r>
    </w:p>
    <w:p>
      <w:pPr>
        <w:spacing w:line="360" w:lineRule="auto"/>
        <w:ind w:hanging="60"/>
        <w:rPr>
          <w:rFonts w:hint="eastAsia" w:ascii="仿宋" w:hAnsi="仿宋" w:eastAsia="仿宋" w:cs="仿宋"/>
          <w:b/>
          <w:sz w:val="30"/>
          <w:szCs w:val="30"/>
        </w:rPr>
      </w:pPr>
      <w:r>
        <w:rPr>
          <w:rFonts w:hint="eastAsia" w:ascii="仿宋" w:hAnsi="仿宋" w:eastAsia="仿宋" w:cs="仿宋"/>
          <w:b/>
          <w:sz w:val="30"/>
          <w:szCs w:val="30"/>
          <w:lang w:bidi="ar"/>
        </w:rPr>
        <w:t>三、绿地附属设施</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1.喷淋设施工作不正常，喷头缺失或水管漏水。</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2.汀步下沉、塌陷。</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3.绿地内沙井盖等破损、缺失。</w:t>
      </w:r>
    </w:p>
    <w:p>
      <w:pPr>
        <w:spacing w:line="360" w:lineRule="auto"/>
        <w:ind w:hanging="60"/>
        <w:rPr>
          <w:rFonts w:hint="eastAsia" w:ascii="仿宋" w:hAnsi="仿宋" w:eastAsia="仿宋" w:cs="仿宋"/>
          <w:b/>
          <w:bCs/>
          <w:sz w:val="30"/>
          <w:szCs w:val="30"/>
        </w:rPr>
      </w:pPr>
      <w:r>
        <w:rPr>
          <w:rFonts w:hint="eastAsia" w:ascii="仿宋" w:hAnsi="仿宋" w:eastAsia="仿宋" w:cs="仿宋"/>
          <w:b/>
          <w:bCs/>
          <w:sz w:val="30"/>
          <w:szCs w:val="30"/>
          <w:lang w:bidi="ar"/>
        </w:rPr>
        <w:t>四、绿地卫生保洁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1.绿地内有垃圾、石砾及砖块、粪便、干枝枯叶，有积水或蚊蝇孳生地。</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2.绿化垃圾（修剪后的枝条或草叶等）未及时清运。</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3.有与绿化无关的悬挂物（如晾晒衣物等）。</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4.园林养护班房周边有垃圾，晾晒衣物，生产工具摆放杂乱。</w:t>
      </w:r>
    </w:p>
    <w:p>
      <w:pPr>
        <w:spacing w:line="360" w:lineRule="auto"/>
        <w:ind w:hanging="60"/>
        <w:rPr>
          <w:rFonts w:hint="eastAsia" w:ascii="仿宋" w:hAnsi="仿宋" w:eastAsia="仿宋" w:cs="仿宋"/>
          <w:b/>
          <w:sz w:val="30"/>
          <w:szCs w:val="30"/>
        </w:rPr>
      </w:pPr>
      <w:r>
        <w:rPr>
          <w:rFonts w:hint="eastAsia" w:ascii="仿宋" w:hAnsi="仿宋" w:eastAsia="仿宋" w:cs="仿宋"/>
          <w:b/>
          <w:sz w:val="30"/>
          <w:szCs w:val="30"/>
          <w:lang w:bidi="ar"/>
        </w:rPr>
        <w:t>六、安全生产和文明施工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1.工作区间内没有放置施工标牌；高空修剪作业范围内没有警示标识；水车进行淋水作业时，没有在车头或车尾放置警示标识及播放适当音量的音乐提醒行人。</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2.道路及绿化及公共绿地淋水喷洒量过大溅湿行人。</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3.对于已经审批同意砍伐、迁移、修剪树木或临时占用绿地的区域，未按许可内容实施，如超出审批的数量、规格、范围进行砍伐、迁移、修剪或占用。</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bidi="ar"/>
        </w:rPr>
        <w:t>4.养护工人统一着装。</w:t>
      </w:r>
    </w:p>
    <w:p>
      <w:pPr>
        <w:spacing w:line="360" w:lineRule="auto"/>
        <w:ind w:firstLine="600" w:firstLineChars="200"/>
        <w:rPr>
          <w:rFonts w:hint="eastAsia" w:ascii="仿宋" w:hAnsi="仿宋" w:eastAsia="仿宋" w:cs="仿宋"/>
          <w:sz w:val="30"/>
          <w:szCs w:val="30"/>
        </w:rPr>
      </w:pPr>
    </w:p>
    <w:p>
      <w:pPr>
        <w:pStyle w:val="14"/>
        <w:widowControl/>
        <w:spacing w:line="360" w:lineRule="auto"/>
        <w:ind w:firstLine="600"/>
        <w:rPr>
          <w:rFonts w:hint="eastAsia" w:ascii="仿宋" w:hAnsi="仿宋" w:eastAsia="仿宋" w:cs="仿宋"/>
          <w:sz w:val="30"/>
          <w:szCs w:val="30"/>
        </w:rPr>
      </w:pPr>
    </w:p>
    <w:p>
      <w:pPr>
        <w:pStyle w:val="14"/>
        <w:widowControl/>
        <w:spacing w:line="360" w:lineRule="auto"/>
        <w:ind w:firstLine="600"/>
        <w:rPr>
          <w:rFonts w:hint="eastAsia" w:ascii="仿宋" w:hAnsi="仿宋" w:eastAsia="仿宋" w:cs="仿宋"/>
          <w:sz w:val="30"/>
          <w:szCs w:val="30"/>
        </w:rPr>
      </w:pPr>
    </w:p>
    <w:p>
      <w:pPr>
        <w:pStyle w:val="14"/>
        <w:widowControl/>
        <w:spacing w:line="360" w:lineRule="auto"/>
        <w:ind w:firstLine="600"/>
        <w:rPr>
          <w:rFonts w:hint="eastAsia" w:ascii="仿宋" w:hAnsi="仿宋" w:eastAsia="仿宋" w:cs="仿宋"/>
          <w:sz w:val="30"/>
          <w:szCs w:val="30"/>
        </w:rPr>
      </w:pPr>
    </w:p>
    <w:p>
      <w:pPr>
        <w:pStyle w:val="14"/>
        <w:widowControl/>
        <w:spacing w:line="360" w:lineRule="auto"/>
        <w:ind w:firstLine="600"/>
        <w:rPr>
          <w:rFonts w:hint="eastAsia" w:ascii="仿宋" w:hAnsi="仿宋" w:eastAsia="仿宋" w:cs="仿宋"/>
          <w:sz w:val="30"/>
          <w:szCs w:val="30"/>
        </w:rPr>
      </w:pPr>
    </w:p>
    <w:p>
      <w:pPr>
        <w:pStyle w:val="14"/>
        <w:widowControl/>
        <w:spacing w:line="360" w:lineRule="auto"/>
        <w:ind w:firstLine="600"/>
        <w:rPr>
          <w:rFonts w:hint="eastAsia" w:ascii="仿宋" w:hAnsi="仿宋" w:eastAsia="仿宋" w:cs="仿宋"/>
          <w:sz w:val="30"/>
          <w:szCs w:val="30"/>
        </w:rPr>
      </w:pPr>
    </w:p>
    <w:p>
      <w:pPr>
        <w:pStyle w:val="14"/>
        <w:widowControl/>
        <w:spacing w:line="360" w:lineRule="auto"/>
        <w:ind w:firstLine="600"/>
        <w:rPr>
          <w:rFonts w:hint="eastAsia" w:ascii="仿宋" w:hAnsi="仿宋" w:eastAsia="仿宋" w:cs="仿宋"/>
          <w:sz w:val="30"/>
          <w:szCs w:val="30"/>
        </w:rPr>
      </w:pPr>
    </w:p>
    <w:p>
      <w:pPr>
        <w:pStyle w:val="14"/>
        <w:widowControl/>
        <w:spacing w:line="360" w:lineRule="auto"/>
        <w:ind w:firstLine="600"/>
        <w:rPr>
          <w:rFonts w:hint="eastAsia" w:ascii="仿宋" w:hAnsi="仿宋" w:eastAsia="仿宋" w:cs="仿宋"/>
          <w:sz w:val="30"/>
          <w:szCs w:val="30"/>
        </w:rPr>
      </w:pPr>
    </w:p>
    <w:p>
      <w:pPr>
        <w:pStyle w:val="14"/>
        <w:widowControl/>
        <w:spacing w:line="360" w:lineRule="auto"/>
        <w:ind w:firstLine="600"/>
        <w:rPr>
          <w:rFonts w:hint="eastAsia" w:ascii="仿宋" w:hAnsi="仿宋" w:eastAsia="仿宋" w:cs="仿宋"/>
          <w:sz w:val="30"/>
          <w:szCs w:val="30"/>
        </w:rPr>
      </w:pPr>
    </w:p>
    <w:p>
      <w:pPr>
        <w:pStyle w:val="14"/>
        <w:widowControl/>
        <w:spacing w:line="360" w:lineRule="auto"/>
        <w:ind w:firstLine="600"/>
        <w:rPr>
          <w:rFonts w:hint="eastAsia" w:ascii="仿宋" w:hAnsi="仿宋" w:eastAsia="仿宋" w:cs="仿宋"/>
          <w:sz w:val="30"/>
          <w:szCs w:val="30"/>
        </w:rPr>
      </w:pPr>
    </w:p>
    <w:p>
      <w:pPr>
        <w:pStyle w:val="14"/>
        <w:widowControl/>
        <w:spacing w:line="360" w:lineRule="auto"/>
        <w:ind w:firstLine="600"/>
        <w:rPr>
          <w:rFonts w:hint="eastAsia" w:ascii="仿宋" w:hAnsi="仿宋" w:eastAsia="仿宋" w:cs="仿宋"/>
          <w:sz w:val="30"/>
          <w:szCs w:val="30"/>
        </w:rPr>
      </w:pPr>
    </w:p>
    <w:p>
      <w:pPr>
        <w:pStyle w:val="14"/>
        <w:widowControl/>
        <w:spacing w:line="360" w:lineRule="auto"/>
        <w:ind w:firstLine="600"/>
        <w:rPr>
          <w:rFonts w:hint="eastAsia" w:ascii="仿宋" w:hAnsi="仿宋" w:eastAsia="仿宋" w:cs="仿宋"/>
          <w:sz w:val="30"/>
          <w:szCs w:val="30"/>
        </w:rPr>
      </w:pPr>
    </w:p>
    <w:p>
      <w:pPr>
        <w:pStyle w:val="14"/>
        <w:widowControl/>
        <w:spacing w:line="360" w:lineRule="auto"/>
        <w:ind w:firstLine="600"/>
        <w:rPr>
          <w:rFonts w:hint="eastAsia" w:ascii="仿宋" w:hAnsi="仿宋" w:eastAsia="仿宋" w:cs="仿宋"/>
          <w:sz w:val="30"/>
          <w:szCs w:val="30"/>
        </w:rPr>
      </w:pPr>
    </w:p>
    <w:p>
      <w:pPr>
        <w:pStyle w:val="4"/>
        <w:widowControl/>
        <w:spacing w:line="360" w:lineRule="auto"/>
        <w:ind w:firstLine="0"/>
        <w:rPr>
          <w:rFonts w:hint="eastAsia" w:ascii="仿宋" w:hAnsi="仿宋" w:eastAsia="仿宋" w:cs="仿宋"/>
          <w:sz w:val="30"/>
          <w:szCs w:val="30"/>
          <w:lang w:val="en-US" w:eastAsia="zh-CN"/>
        </w:rPr>
      </w:pPr>
      <w:r>
        <w:rPr>
          <w:rFonts w:hint="eastAsia" w:ascii="仿宋" w:hAnsi="仿宋" w:eastAsia="仿宋" w:cs="仿宋"/>
          <w:b/>
          <w:bCs/>
          <w:color w:val="000000"/>
          <w:sz w:val="30"/>
          <w:szCs w:val="30"/>
        </w:rPr>
        <w:t>附件</w:t>
      </w:r>
      <w:r>
        <w:rPr>
          <w:rFonts w:hint="eastAsia" w:ascii="仿宋" w:hAnsi="仿宋" w:eastAsia="仿宋" w:cs="仿宋"/>
          <w:b/>
          <w:bCs/>
          <w:color w:val="000000"/>
          <w:sz w:val="30"/>
          <w:szCs w:val="30"/>
          <w:lang w:val="en-US" w:eastAsia="zh-CN"/>
        </w:rPr>
        <w:t>4</w:t>
      </w:r>
    </w:p>
    <w:tbl>
      <w:tblPr>
        <w:tblStyle w:val="15"/>
        <w:tblW w:w="5000" w:type="pct"/>
        <w:tblInd w:w="0" w:type="dxa"/>
        <w:tblLayout w:type="autofit"/>
        <w:tblCellMar>
          <w:top w:w="0" w:type="dxa"/>
          <w:left w:w="108" w:type="dxa"/>
          <w:bottom w:w="0" w:type="dxa"/>
          <w:right w:w="108" w:type="dxa"/>
        </w:tblCellMar>
      </w:tblPr>
      <w:tblGrid>
        <w:gridCol w:w="791"/>
        <w:gridCol w:w="517"/>
        <w:gridCol w:w="2871"/>
        <w:gridCol w:w="2767"/>
        <w:gridCol w:w="666"/>
        <w:gridCol w:w="516"/>
        <w:gridCol w:w="728"/>
      </w:tblGrid>
      <w:tr>
        <w:tblPrEx>
          <w:tblCellMar>
            <w:top w:w="0" w:type="dxa"/>
            <w:left w:w="108" w:type="dxa"/>
            <w:bottom w:w="0" w:type="dxa"/>
            <w:right w:w="108" w:type="dxa"/>
          </w:tblCellMar>
        </w:tblPrEx>
        <w:trPr>
          <w:trHeight w:val="375" w:hRule="atLeast"/>
        </w:trPr>
        <w:tc>
          <w:tcPr>
            <w:tcW w:w="5000" w:type="pct"/>
            <w:gridSpan w:val="7"/>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top"/>
              <w:rPr>
                <w:rFonts w:hint="eastAsia" w:ascii="仿宋" w:hAnsi="仿宋" w:eastAsia="仿宋" w:cs="仿宋"/>
                <w:b/>
                <w:bCs/>
                <w:color w:val="000000"/>
                <w:sz w:val="30"/>
                <w:szCs w:val="30"/>
              </w:rPr>
            </w:pPr>
            <w:r>
              <w:rPr>
                <w:rFonts w:hint="eastAsia" w:ascii="仿宋" w:hAnsi="仿宋" w:eastAsia="仿宋" w:cs="仿宋"/>
                <w:b/>
                <w:bCs/>
                <w:color w:val="000000"/>
                <w:kern w:val="0"/>
                <w:sz w:val="30"/>
                <w:szCs w:val="30"/>
                <w:lang w:bidi="ar"/>
              </w:rPr>
              <w:t>广州医科大学附属中医医院绿化服务项目考核评分表（   月度）</w:t>
            </w:r>
          </w:p>
        </w:tc>
      </w:tr>
      <w:tr>
        <w:tblPrEx>
          <w:tblCellMar>
            <w:top w:w="0" w:type="dxa"/>
            <w:left w:w="108" w:type="dxa"/>
            <w:bottom w:w="0" w:type="dxa"/>
            <w:right w:w="108" w:type="dxa"/>
          </w:tblCellMar>
        </w:tblPrEx>
        <w:trPr>
          <w:trHeight w:val="380" w:hRule="atLeast"/>
        </w:trPr>
        <w:tc>
          <w:tcPr>
            <w:tcW w:w="5000" w:type="pct"/>
            <w:gridSpan w:val="7"/>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top"/>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检查人员：</w:t>
            </w:r>
          </w:p>
        </w:tc>
      </w:tr>
      <w:tr>
        <w:tblPrEx>
          <w:tblCellMar>
            <w:top w:w="0" w:type="dxa"/>
            <w:left w:w="108" w:type="dxa"/>
            <w:bottom w:w="0" w:type="dxa"/>
            <w:right w:w="108" w:type="dxa"/>
          </w:tblCellMar>
        </w:tblPrEx>
        <w:trPr>
          <w:trHeight w:val="540" w:hRule="atLeast"/>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项目</w:t>
            </w: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序号</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养护要求</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评分标准</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标准分</w:t>
            </w: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扣分</w:t>
            </w: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对应位置</w:t>
            </w:r>
          </w:p>
        </w:tc>
      </w:tr>
      <w:tr>
        <w:tblPrEx>
          <w:tblCellMar>
            <w:top w:w="0" w:type="dxa"/>
            <w:left w:w="108" w:type="dxa"/>
            <w:bottom w:w="0" w:type="dxa"/>
            <w:right w:w="108" w:type="dxa"/>
          </w:tblCellMar>
        </w:tblPrEx>
        <w:trPr>
          <w:trHeight w:val="675" w:hRule="atLeast"/>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养护人员到位情况</w:t>
            </w: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按照合同要求配备现场养护人员</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按实际缺勤的人数扣分，实际人数每少于合同要求配备标准人数1人，扣0.5分，扣完为止。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675" w:hRule="atLeast"/>
        </w:trPr>
        <w:tc>
          <w:tcPr>
            <w:tcW w:w="44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天河院区中草药园</w:t>
            </w: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2</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植物长势良好，叶色正常，开花适时，无明显病虫害，无缺水缺肥现象。</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植物病虫害症状超过1平方米，每出现1处扣1分，缺水缺肥每处扣1分，扣完为止。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10</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90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3</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植物修剪及时、得当，线条齐整、圆滑、流畅。景观层次分明，无缺株、死株，无枯叶，无杂草、寄生植物，修剪符合植物生长习性，整体景观协调。</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每出现一处问题扣1分，扣完为止。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10</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rPr>
          <w:trHeight w:val="45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4</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具备中医药文化及中国传统文化传承特色，可观赏性强</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不具备特色，不得分。</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900" w:hRule="atLeast"/>
        </w:trPr>
        <w:tc>
          <w:tcPr>
            <w:tcW w:w="44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室外养护</w:t>
            </w: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树木生长正常，树冠整齐美观，分枝点合适，无死树、无缺株、无光干、无歪斜，树木叶色正常，开花结果正常，无病虫危害，无缺水缺肥现象。</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分支点过低、死树、缺株、光干、歪斜等情况每出现一处扣1分，扣完为止。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10</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96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6</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树干无包裹、无牵绳挂物（包括未经允许的灯饰）、堆积杂物，树穴盖板、树穴砖无缺损，树穴压条与路面平齐、无缺损，树木支撑完整、整齐美观。</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每出现一处问题扣1分，扣完为止。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10</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142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7</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修剪及时合理，无偏冠，无枯枝、荫枝、内膛枝、徒长枝、重叠枝、病弱枝、低垂枝，无寄生植物，树冠下透光充足，满足灌木和地被植物正常生长需要。无生长到楼房外立面、窗台、阳台，影响房屋正常采光、安全问题。</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每出现一处扣1分，扣完为止。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168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8</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植物生长茂盛、无死株、缺株，缺株后补植的植物与原有植物品种、规格一致或协调，无景观不协调现象。灌木修剪及时、得当，造型灌木还须修剪线条齐整、圆滑、流畅。景观层次分明，无枯枝、徒长枝、病弱枝，无寄生植物，灌木无老化、空脚现象,修剪造型符合植物生长习性，整体景观协调。</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每出现一处问题扣1分，扣完为止。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675" w:hRule="atLeast"/>
        </w:trPr>
        <w:tc>
          <w:tcPr>
            <w:tcW w:w="44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保洁</w:t>
            </w: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9</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植物无叶面积尘</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乔、灌木，绿化带内植物，叶面积尘面积每超过10平方米每处扣1分，扣完为止。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675"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10</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绿地无枯枝败叶、生活垃圾、建筑垃圾、绿化垃圾等，无乱搭挂及堆放杂物现象。</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绿地零星垃圾每处扣0.5分，未日产日清的绿化垃圾每处扣1分，乱搭挂和堆放杂物每处扣1分，扣完为止。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450" w:hRule="atLeast"/>
        </w:trPr>
        <w:tc>
          <w:tcPr>
            <w:tcW w:w="4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设施维护</w:t>
            </w: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11</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水景平整洁净，无破损、下沉，无影响景观的涂画、张贴物。</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破损、下沉、脏污每出现一处扣0.5分，扣完为止。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480" w:hRule="atLeast"/>
        </w:trPr>
        <w:tc>
          <w:tcPr>
            <w:tcW w:w="44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租摆服务</w:t>
            </w: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12</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绿植养护质量高、无损坏。</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每出现一处扣1分，扣完为止。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42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13</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响应速度及时</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不及时每次扣1分，扣完为止。</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450" w:hRule="atLeast"/>
        </w:trPr>
        <w:tc>
          <w:tcPr>
            <w:tcW w:w="44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其他</w:t>
            </w: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14</w:t>
            </w:r>
          </w:p>
        </w:tc>
        <w:tc>
          <w:tcPr>
            <w:tcW w:w="162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安全施工</w:t>
            </w: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发生安全事故，造成财务损失或人员伤亡，一次扣3分。</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840" w:hRule="atLeast"/>
        </w:trPr>
        <w:tc>
          <w:tcPr>
            <w:tcW w:w="4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15</w:t>
            </w:r>
          </w:p>
        </w:tc>
        <w:tc>
          <w:tcPr>
            <w:tcW w:w="16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养护或抢险作业时，未按规范做好安全措施（反光衣、安全带、安全帽、雪糕筒或铁马等）或围蔽的，每发现一次扣3分。</w:t>
            </w: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5</w:t>
            </w:r>
          </w:p>
        </w:tc>
        <w:tc>
          <w:tcPr>
            <w:tcW w:w="291"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500" w:hRule="atLeast"/>
        </w:trPr>
        <w:tc>
          <w:tcPr>
            <w:tcW w:w="73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合计</w:t>
            </w:r>
          </w:p>
        </w:tc>
        <w:tc>
          <w:tcPr>
            <w:tcW w:w="16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156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100</w:t>
            </w:r>
          </w:p>
        </w:tc>
        <w:tc>
          <w:tcPr>
            <w:tcW w:w="2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c>
          <w:tcPr>
            <w:tcW w:w="40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000000"/>
                <w:sz w:val="30"/>
                <w:szCs w:val="30"/>
              </w:rPr>
            </w:pPr>
          </w:p>
        </w:tc>
      </w:tr>
      <w:tr>
        <w:tblPrEx>
          <w:tblCellMar>
            <w:top w:w="0" w:type="dxa"/>
            <w:left w:w="108" w:type="dxa"/>
            <w:bottom w:w="0" w:type="dxa"/>
            <w:right w:w="108" w:type="dxa"/>
          </w:tblCellMar>
        </w:tblPrEx>
        <w:trPr>
          <w:trHeight w:val="740" w:hRule="atLeast"/>
        </w:trPr>
        <w:tc>
          <w:tcPr>
            <w:tcW w:w="5000" w:type="pct"/>
            <w:gridSpan w:val="7"/>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val="0"/>
              <w:snapToGrid w:val="0"/>
              <w:spacing w:line="240" w:lineRule="auto"/>
              <w:textAlignment w:val="top"/>
              <w:rPr>
                <w:rFonts w:hint="eastAsia" w:ascii="仿宋" w:hAnsi="仿宋" w:eastAsia="仿宋" w:cs="仿宋"/>
                <w:color w:val="000000"/>
                <w:sz w:val="30"/>
                <w:szCs w:val="30"/>
              </w:rPr>
            </w:pPr>
            <w:r>
              <w:rPr>
                <w:rFonts w:hint="eastAsia" w:ascii="仿宋" w:hAnsi="仿宋" w:eastAsia="仿宋" w:cs="仿宋"/>
                <w:b/>
                <w:bCs/>
                <w:color w:val="000000"/>
                <w:kern w:val="0"/>
                <w:sz w:val="30"/>
                <w:szCs w:val="30"/>
                <w:lang w:bidi="ar"/>
              </w:rPr>
              <w:t>备注：满分为100分，90-100分（含）为合格；60-90分（不含）为基本合格；60分（不含）以下为不合格。月度综合考核评分满分为100分。如月度综合考核评分为60-90分（不含），对比90分每扣减1分，处罚扣款500元，如月度综合考核评分为60分（不含）以下，则扣减当月全部养护费。</w:t>
            </w:r>
          </w:p>
        </w:tc>
      </w:tr>
    </w:tbl>
    <w:p>
      <w:pPr>
        <w:spacing w:line="360" w:lineRule="auto"/>
        <w:rPr>
          <w:rFonts w:hint="eastAsia" w:ascii="仿宋" w:hAnsi="仿宋" w:eastAsia="仿宋" w:cs="仿宋"/>
          <w:sz w:val="30"/>
          <w:szCs w:val="30"/>
        </w:rPr>
      </w:pPr>
      <w:r>
        <w:rPr>
          <w:rFonts w:hint="eastAsia" w:ascii="仿宋" w:hAnsi="仿宋" w:eastAsia="仿宋" w:cs="仿宋"/>
          <w:sz w:val="30"/>
          <w:szCs w:val="30"/>
          <w:lang w:bidi="ar"/>
        </w:rPr>
        <w:br w:type="page"/>
      </w:r>
    </w:p>
    <w:p>
      <w:pPr>
        <w:pStyle w:val="4"/>
        <w:widowControl/>
        <w:spacing w:line="360" w:lineRule="auto"/>
        <w:ind w:firstLine="0"/>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rPr>
        <w:t>附件</w:t>
      </w:r>
      <w:r>
        <w:rPr>
          <w:rFonts w:hint="eastAsia" w:ascii="仿宋" w:hAnsi="仿宋" w:eastAsia="仿宋" w:cs="仿宋"/>
          <w:b/>
          <w:bCs/>
          <w:color w:val="000000"/>
          <w:sz w:val="30"/>
          <w:szCs w:val="30"/>
          <w:lang w:val="en-US" w:eastAsia="zh-CN"/>
        </w:rPr>
        <w:t>5</w:t>
      </w:r>
    </w:p>
    <w:p>
      <w:pPr>
        <w:pStyle w:val="31"/>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广州医科大学附属中医医院2026年至2028年</w:t>
      </w:r>
    </w:p>
    <w:p>
      <w:pPr>
        <w:pStyle w:val="31"/>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绿化服务项目</w:t>
      </w:r>
      <w:r>
        <w:rPr>
          <w:rFonts w:hint="eastAsia" w:ascii="宋体" w:hAnsi="宋体" w:eastAsia="宋体" w:cs="宋体"/>
          <w:b/>
          <w:bCs/>
          <w:kern w:val="2"/>
          <w:sz w:val="36"/>
          <w:szCs w:val="36"/>
          <w:lang w:bidi="ar"/>
        </w:rPr>
        <w:t>报价明细表</w:t>
      </w:r>
    </w:p>
    <w:tbl>
      <w:tblPr>
        <w:tblStyle w:val="15"/>
        <w:tblW w:w="5098" w:type="pct"/>
        <w:tblInd w:w="137" w:type="dxa"/>
        <w:tblLayout w:type="fixed"/>
        <w:tblCellMar>
          <w:top w:w="0" w:type="dxa"/>
          <w:left w:w="108" w:type="dxa"/>
          <w:bottom w:w="0" w:type="dxa"/>
          <w:right w:w="108" w:type="dxa"/>
        </w:tblCellMar>
      </w:tblPr>
      <w:tblGrid>
        <w:gridCol w:w="511"/>
        <w:gridCol w:w="508"/>
        <w:gridCol w:w="2718"/>
        <w:gridCol w:w="1693"/>
        <w:gridCol w:w="1493"/>
        <w:gridCol w:w="2108"/>
      </w:tblGrid>
      <w:tr>
        <w:tblPrEx>
          <w:tblCellMar>
            <w:top w:w="0" w:type="dxa"/>
            <w:left w:w="108" w:type="dxa"/>
            <w:bottom w:w="0" w:type="dxa"/>
            <w:right w:w="108" w:type="dxa"/>
          </w:tblCellMar>
        </w:tblPrEx>
        <w:trPr>
          <w:cantSplit/>
          <w:trHeight w:val="1134" w:hRule="exact"/>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sz w:val="30"/>
                <w:szCs w:val="30"/>
              </w:rPr>
            </w:pPr>
            <w:r>
              <w:rPr>
                <w:rFonts w:hint="eastAsia" w:ascii="仿宋" w:hAnsi="仿宋" w:eastAsia="仿宋" w:cs="仿宋"/>
                <w:b/>
                <w:bCs/>
                <w:kern w:val="0"/>
                <w:sz w:val="30"/>
                <w:szCs w:val="30"/>
                <w:lang w:bidi="ar"/>
              </w:rPr>
              <w:t>序号</w:t>
            </w:r>
          </w:p>
        </w:tc>
        <w:tc>
          <w:tcPr>
            <w:tcW w:w="178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sz w:val="30"/>
                <w:szCs w:val="30"/>
              </w:rPr>
            </w:pPr>
            <w:r>
              <w:rPr>
                <w:rFonts w:hint="eastAsia" w:ascii="仿宋" w:hAnsi="仿宋" w:eastAsia="仿宋" w:cs="仿宋"/>
                <w:b/>
                <w:bCs/>
                <w:kern w:val="0"/>
                <w:sz w:val="30"/>
                <w:szCs w:val="30"/>
                <w:lang w:bidi="ar"/>
              </w:rPr>
              <w:t>服务内容</w:t>
            </w:r>
          </w:p>
        </w:tc>
        <w:tc>
          <w:tcPr>
            <w:tcW w:w="9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sz w:val="30"/>
                <w:szCs w:val="30"/>
              </w:rPr>
            </w:pPr>
            <w:r>
              <w:rPr>
                <w:rFonts w:hint="eastAsia" w:ascii="仿宋" w:hAnsi="仿宋" w:eastAsia="仿宋" w:cs="仿宋"/>
                <w:b/>
                <w:bCs/>
                <w:kern w:val="0"/>
                <w:sz w:val="30"/>
                <w:szCs w:val="30"/>
                <w:lang w:bidi="ar"/>
              </w:rPr>
              <w:t>最高限价</w:t>
            </w:r>
            <w:r>
              <w:rPr>
                <w:rFonts w:hint="eastAsia" w:ascii="仿宋" w:hAnsi="仿宋" w:eastAsia="仿宋" w:cs="仿宋"/>
                <w:b/>
                <w:bCs/>
                <w:kern w:val="0"/>
                <w:sz w:val="30"/>
                <w:szCs w:val="30"/>
                <w:lang w:bidi="ar"/>
              </w:rPr>
              <w:br w:type="textWrapping"/>
            </w:r>
            <w:r>
              <w:rPr>
                <w:rFonts w:hint="eastAsia" w:ascii="仿宋" w:hAnsi="仿宋" w:eastAsia="仿宋" w:cs="仿宋"/>
                <w:b/>
                <w:bCs/>
                <w:kern w:val="0"/>
                <w:sz w:val="30"/>
                <w:szCs w:val="30"/>
                <w:lang w:bidi="ar"/>
              </w:rPr>
              <w:t>（元/</w:t>
            </w:r>
            <w:r>
              <w:rPr>
                <w:rFonts w:hint="eastAsia" w:ascii="仿宋" w:hAnsi="仿宋" w:eastAsia="仿宋" w:cs="仿宋"/>
                <w:b/>
                <w:bCs/>
                <w:kern w:val="0"/>
                <w:sz w:val="30"/>
                <w:szCs w:val="30"/>
                <w:lang w:val="en-US" w:eastAsia="zh-CN" w:bidi="ar"/>
              </w:rPr>
              <w:t>24个月</w:t>
            </w:r>
            <w:r>
              <w:rPr>
                <w:rFonts w:hint="eastAsia" w:ascii="仿宋" w:hAnsi="仿宋" w:eastAsia="仿宋" w:cs="仿宋"/>
                <w:b/>
                <w:bCs/>
                <w:kern w:val="0"/>
                <w:sz w:val="30"/>
                <w:szCs w:val="30"/>
                <w:lang w:bidi="ar"/>
              </w:rPr>
              <w:t>）</w:t>
            </w:r>
          </w:p>
        </w:tc>
        <w:tc>
          <w:tcPr>
            <w:tcW w:w="8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仿宋" w:hAnsi="仿宋" w:eastAsia="仿宋" w:cs="仿宋"/>
                <w:b/>
                <w:bCs/>
                <w:kern w:val="0"/>
                <w:sz w:val="30"/>
                <w:szCs w:val="30"/>
                <w:lang w:bidi="ar"/>
              </w:rPr>
            </w:pPr>
            <w:r>
              <w:rPr>
                <w:rFonts w:hint="eastAsia" w:ascii="仿宋" w:hAnsi="仿宋" w:eastAsia="仿宋" w:cs="仿宋"/>
                <w:b/>
                <w:bCs/>
                <w:kern w:val="0"/>
                <w:sz w:val="30"/>
                <w:szCs w:val="30"/>
                <w:lang w:bidi="ar"/>
              </w:rPr>
              <w:t>报价</w:t>
            </w:r>
          </w:p>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b/>
                <w:bCs/>
                <w:kern w:val="0"/>
                <w:sz w:val="30"/>
                <w:szCs w:val="30"/>
                <w:lang w:bidi="ar"/>
              </w:rPr>
            </w:pPr>
            <w:r>
              <w:rPr>
                <w:rFonts w:hint="eastAsia" w:ascii="仿宋" w:hAnsi="仿宋" w:eastAsia="仿宋" w:cs="仿宋"/>
                <w:b/>
                <w:bCs/>
                <w:kern w:val="0"/>
                <w:sz w:val="30"/>
                <w:szCs w:val="30"/>
                <w:lang w:bidi="ar"/>
              </w:rPr>
              <w:t>（元/</w:t>
            </w:r>
            <w:r>
              <w:rPr>
                <w:rFonts w:hint="eastAsia" w:ascii="仿宋" w:hAnsi="仿宋" w:eastAsia="仿宋" w:cs="仿宋"/>
                <w:b/>
                <w:bCs/>
                <w:kern w:val="0"/>
                <w:sz w:val="30"/>
                <w:szCs w:val="30"/>
                <w:lang w:val="en-US" w:eastAsia="zh-CN" w:bidi="ar"/>
              </w:rPr>
              <w:t>24个月</w:t>
            </w:r>
            <w:r>
              <w:rPr>
                <w:rFonts w:hint="eastAsia" w:ascii="仿宋" w:hAnsi="仿宋" w:eastAsia="仿宋" w:cs="仿宋"/>
                <w:b/>
                <w:bCs/>
                <w:kern w:val="0"/>
                <w:sz w:val="30"/>
                <w:szCs w:val="30"/>
                <w:lang w:bidi="ar"/>
              </w:rPr>
              <w:t>）</w:t>
            </w:r>
          </w:p>
        </w:tc>
        <w:tc>
          <w:tcPr>
            <w:tcW w:w="11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bCs/>
                <w:sz w:val="30"/>
                <w:szCs w:val="30"/>
              </w:rPr>
            </w:pPr>
            <w:r>
              <w:rPr>
                <w:rFonts w:hint="eastAsia" w:ascii="仿宋" w:hAnsi="仿宋" w:eastAsia="仿宋" w:cs="仿宋"/>
                <w:b/>
                <w:bCs/>
                <w:kern w:val="0"/>
                <w:sz w:val="30"/>
                <w:szCs w:val="30"/>
                <w:lang w:bidi="ar"/>
              </w:rPr>
              <w:t>备注</w:t>
            </w:r>
          </w:p>
        </w:tc>
      </w:tr>
      <w:tr>
        <w:tblPrEx>
          <w:tblCellMar>
            <w:top w:w="0" w:type="dxa"/>
            <w:left w:w="108" w:type="dxa"/>
            <w:bottom w:w="0" w:type="dxa"/>
            <w:right w:w="108" w:type="dxa"/>
          </w:tblCellMar>
        </w:tblPrEx>
        <w:trPr>
          <w:cantSplit/>
          <w:trHeight w:val="1167" w:hRule="atLeast"/>
        </w:trPr>
        <w:tc>
          <w:tcPr>
            <w:tcW w:w="28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hint="eastAsia" w:ascii="仿宋" w:hAnsi="仿宋" w:eastAsia="仿宋" w:cs="仿宋"/>
                <w:sz w:val="30"/>
                <w:szCs w:val="30"/>
              </w:rPr>
            </w:pPr>
            <w:r>
              <w:rPr>
                <w:rFonts w:hint="eastAsia" w:ascii="仿宋" w:hAnsi="仿宋" w:eastAsia="仿宋" w:cs="仿宋"/>
                <w:sz w:val="30"/>
                <w:szCs w:val="30"/>
              </w:rPr>
              <w:t>1</w:t>
            </w:r>
          </w:p>
        </w:tc>
        <w:tc>
          <w:tcPr>
            <w:tcW w:w="281" w:type="pct"/>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kern w:val="0"/>
                <w:sz w:val="30"/>
                <w:szCs w:val="30"/>
                <w:lang w:bidi="ar"/>
              </w:rPr>
            </w:pPr>
            <w:r>
              <w:rPr>
                <w:rFonts w:hint="eastAsia" w:ascii="仿宋" w:hAnsi="仿宋" w:eastAsia="仿宋" w:cs="仿宋"/>
                <w:kern w:val="0"/>
                <w:sz w:val="30"/>
                <w:szCs w:val="30"/>
                <w:lang w:bidi="ar"/>
              </w:rPr>
              <w:t>室外养护</w:t>
            </w:r>
          </w:p>
          <w:p>
            <w:pPr>
              <w:widowControl/>
              <w:spacing w:line="360" w:lineRule="auto"/>
              <w:textAlignment w:val="center"/>
              <w:rPr>
                <w:rFonts w:hint="eastAsia" w:ascii="仿宋" w:hAnsi="仿宋" w:eastAsia="仿宋" w:cs="仿宋"/>
                <w:sz w:val="30"/>
                <w:szCs w:val="30"/>
              </w:rPr>
            </w:pPr>
          </w:p>
        </w:tc>
        <w:tc>
          <w:tcPr>
            <w:tcW w:w="15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sz w:val="30"/>
                <w:szCs w:val="30"/>
              </w:rPr>
            </w:pPr>
            <w:r>
              <w:rPr>
                <w:rFonts w:hint="eastAsia" w:ascii="仿宋" w:hAnsi="仿宋" w:eastAsia="仿宋" w:cs="仿宋"/>
                <w:kern w:val="0"/>
                <w:sz w:val="30"/>
                <w:szCs w:val="30"/>
                <w:lang w:bidi="ar"/>
              </w:rPr>
              <w:t>天河院区室外绿化</w:t>
            </w:r>
          </w:p>
        </w:tc>
        <w:tc>
          <w:tcPr>
            <w:tcW w:w="937" w:type="pct"/>
            <w:vMerge w:val="restart"/>
            <w:tcBorders>
              <w:top w:val="single" w:color="auto"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lang w:val="en-US" w:eastAsia="zh-CN" w:bidi="ar"/>
              </w:rPr>
              <w:t>723880</w:t>
            </w:r>
            <w:r>
              <w:rPr>
                <w:rFonts w:hint="eastAsia" w:ascii="仿宋" w:hAnsi="仿宋" w:eastAsia="仿宋" w:cs="仿宋"/>
                <w:sz w:val="30"/>
                <w:szCs w:val="30"/>
                <w:lang w:bidi="ar"/>
              </w:rPr>
              <w:t>.00</w:t>
            </w:r>
          </w:p>
        </w:tc>
        <w:tc>
          <w:tcPr>
            <w:tcW w:w="826" w:type="pct"/>
            <w:vMerge w:val="restart"/>
            <w:tcBorders>
              <w:top w:val="single" w:color="auto"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c>
          <w:tcPr>
            <w:tcW w:w="1167" w:type="pct"/>
            <w:vMerge w:val="restart"/>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rPr>
                <w:rFonts w:hint="eastAsia" w:ascii="仿宋" w:hAnsi="仿宋" w:eastAsia="仿宋" w:cs="仿宋"/>
                <w:sz w:val="30"/>
                <w:szCs w:val="30"/>
              </w:rPr>
            </w:pPr>
            <w:r>
              <w:rPr>
                <w:rFonts w:hint="eastAsia" w:ascii="仿宋" w:hAnsi="仿宋" w:eastAsia="仿宋" w:cs="仿宋"/>
                <w:sz w:val="30"/>
                <w:szCs w:val="30"/>
                <w:lang w:bidi="ar"/>
              </w:rPr>
              <w:t>1、项目由</w:t>
            </w:r>
            <w:r>
              <w:rPr>
                <w:rFonts w:hint="eastAsia" w:ascii="仿宋" w:hAnsi="仿宋" w:eastAsia="仿宋" w:cs="仿宋"/>
                <w:kern w:val="0"/>
                <w:sz w:val="30"/>
                <w:szCs w:val="30"/>
                <w:lang w:bidi="ar"/>
              </w:rPr>
              <w:t>室外养护</w:t>
            </w:r>
            <w:r>
              <w:rPr>
                <w:rFonts w:hint="eastAsia" w:ascii="仿宋" w:hAnsi="仿宋" w:eastAsia="仿宋" w:cs="仿宋"/>
                <w:kern w:val="0"/>
                <w:sz w:val="30"/>
                <w:szCs w:val="30"/>
                <w:lang w:val="en-US" w:eastAsia="zh-CN" w:bidi="ar"/>
              </w:rPr>
              <w:t>和</w:t>
            </w:r>
            <w:r>
              <w:rPr>
                <w:rFonts w:hint="eastAsia" w:ascii="仿宋" w:hAnsi="仿宋" w:eastAsia="仿宋" w:cs="仿宋"/>
                <w:kern w:val="0"/>
                <w:sz w:val="30"/>
                <w:szCs w:val="30"/>
                <w:lang w:bidi="ar"/>
              </w:rPr>
              <w:t>租摆服务</w:t>
            </w:r>
            <w:r>
              <w:rPr>
                <w:rFonts w:hint="eastAsia" w:ascii="仿宋" w:hAnsi="仿宋" w:eastAsia="仿宋" w:cs="仿宋"/>
                <w:kern w:val="0"/>
                <w:sz w:val="30"/>
                <w:szCs w:val="30"/>
                <w:lang w:val="en-US" w:eastAsia="zh-CN" w:bidi="ar"/>
              </w:rPr>
              <w:t>两</w:t>
            </w:r>
            <w:r>
              <w:rPr>
                <w:rFonts w:hint="eastAsia" w:ascii="仿宋" w:hAnsi="仿宋" w:eastAsia="仿宋" w:cs="仿宋"/>
                <w:kern w:val="0"/>
                <w:sz w:val="30"/>
                <w:szCs w:val="30"/>
                <w:lang w:bidi="ar"/>
              </w:rPr>
              <w:t>部分组成，报价时</w:t>
            </w:r>
            <w:r>
              <w:rPr>
                <w:rFonts w:hint="eastAsia" w:ascii="仿宋" w:hAnsi="仿宋" w:eastAsia="仿宋" w:cs="仿宋"/>
                <w:sz w:val="30"/>
                <w:szCs w:val="30"/>
                <w:lang w:bidi="ar"/>
              </w:rPr>
              <w:t>不得超过对应的最高限价，总价不得超过项目最高限价，否则报价无效。</w:t>
            </w:r>
          </w:p>
          <w:p>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eastAsia" w:ascii="仿宋" w:hAnsi="仿宋" w:eastAsia="仿宋" w:cs="仿宋"/>
                <w:sz w:val="30"/>
                <w:szCs w:val="30"/>
                <w:lang w:val="en-US" w:eastAsia="zh-CN"/>
              </w:rPr>
            </w:pPr>
            <w:r>
              <w:rPr>
                <w:rFonts w:hint="eastAsia" w:ascii="仿宋" w:hAnsi="仿宋" w:eastAsia="仿宋" w:cs="仿宋"/>
                <w:kern w:val="0"/>
                <w:sz w:val="30"/>
                <w:szCs w:val="30"/>
                <w:lang w:bidi="ar"/>
              </w:rPr>
              <w:t>2、租摆服务报价明细</w:t>
            </w:r>
            <w:r>
              <w:rPr>
                <w:rFonts w:hint="eastAsia" w:ascii="仿宋" w:hAnsi="仿宋" w:eastAsia="仿宋" w:cs="仿宋"/>
                <w:kern w:val="0"/>
                <w:sz w:val="30"/>
                <w:szCs w:val="30"/>
                <w:lang w:val="en-US" w:eastAsia="zh-CN" w:bidi="ar"/>
              </w:rPr>
              <w:t>由附件6</w:t>
            </w:r>
            <w:r>
              <w:rPr>
                <w:rFonts w:hint="eastAsia" w:ascii="仿宋" w:hAnsi="仿宋" w:eastAsia="仿宋" w:cs="仿宋"/>
                <w:kern w:val="0"/>
                <w:sz w:val="30"/>
                <w:szCs w:val="30"/>
                <w:lang w:bidi="ar"/>
              </w:rPr>
              <w:t>-1</w:t>
            </w:r>
            <w:r>
              <w:rPr>
                <w:rFonts w:hint="eastAsia" w:ascii="仿宋" w:hAnsi="仿宋" w:eastAsia="仿宋" w:cs="仿宋"/>
                <w:kern w:val="0"/>
                <w:sz w:val="30"/>
                <w:szCs w:val="30"/>
                <w:lang w:eastAsia="zh-CN" w:bidi="ar"/>
              </w:rPr>
              <w:t>（</w:t>
            </w:r>
            <w:r>
              <w:rPr>
                <w:rFonts w:hint="eastAsia" w:ascii="仿宋" w:hAnsi="仿宋" w:eastAsia="仿宋" w:cs="仿宋"/>
                <w:kern w:val="0"/>
                <w:sz w:val="30"/>
                <w:szCs w:val="30"/>
                <w:lang w:val="en-US" w:eastAsia="zh-CN" w:bidi="ar"/>
              </w:rPr>
              <w:t>256920元</w:t>
            </w:r>
            <w:r>
              <w:rPr>
                <w:rFonts w:hint="eastAsia" w:ascii="仿宋" w:hAnsi="仿宋" w:eastAsia="仿宋" w:cs="仿宋"/>
                <w:kern w:val="0"/>
                <w:sz w:val="30"/>
                <w:szCs w:val="30"/>
                <w:lang w:eastAsia="zh-CN" w:bidi="ar"/>
              </w:rPr>
              <w:t>）</w:t>
            </w:r>
            <w:r>
              <w:rPr>
                <w:rFonts w:hint="eastAsia" w:ascii="仿宋" w:hAnsi="仿宋" w:eastAsia="仿宋" w:cs="仿宋"/>
                <w:kern w:val="0"/>
                <w:sz w:val="30"/>
                <w:szCs w:val="30"/>
                <w:lang w:val="en-US" w:eastAsia="zh-CN" w:bidi="ar"/>
              </w:rPr>
              <w:t>和</w:t>
            </w:r>
            <w:r>
              <w:rPr>
                <w:rFonts w:hint="eastAsia" w:ascii="仿宋" w:hAnsi="仿宋" w:eastAsia="仿宋" w:cs="仿宋"/>
                <w:kern w:val="0"/>
                <w:sz w:val="30"/>
                <w:szCs w:val="30"/>
                <w:lang w:bidi="ar"/>
              </w:rPr>
              <w:t>附件</w:t>
            </w:r>
            <w:r>
              <w:rPr>
                <w:rFonts w:hint="eastAsia" w:ascii="仿宋" w:hAnsi="仿宋" w:eastAsia="仿宋" w:cs="仿宋"/>
                <w:kern w:val="0"/>
                <w:sz w:val="30"/>
                <w:szCs w:val="30"/>
                <w:lang w:val="en-US" w:eastAsia="zh-CN" w:bidi="ar"/>
              </w:rPr>
              <w:t>6</w:t>
            </w:r>
            <w:r>
              <w:rPr>
                <w:rFonts w:hint="eastAsia" w:ascii="仿宋" w:hAnsi="仿宋" w:eastAsia="仿宋" w:cs="仿宋"/>
                <w:kern w:val="0"/>
                <w:sz w:val="30"/>
                <w:szCs w:val="30"/>
                <w:lang w:bidi="ar"/>
              </w:rPr>
              <w:t>-2</w:t>
            </w:r>
            <w:r>
              <w:rPr>
                <w:rFonts w:hint="eastAsia" w:ascii="仿宋" w:hAnsi="仿宋" w:eastAsia="仿宋" w:cs="仿宋"/>
                <w:kern w:val="0"/>
                <w:sz w:val="30"/>
                <w:szCs w:val="30"/>
                <w:lang w:eastAsia="zh-CN" w:bidi="ar"/>
              </w:rPr>
              <w:t>（</w:t>
            </w:r>
            <w:r>
              <w:rPr>
                <w:rFonts w:hint="eastAsia" w:ascii="仿宋" w:hAnsi="仿宋" w:eastAsia="仿宋" w:cs="仿宋"/>
                <w:kern w:val="0"/>
                <w:sz w:val="30"/>
                <w:szCs w:val="30"/>
                <w:lang w:val="en-US" w:eastAsia="zh-CN" w:bidi="ar"/>
              </w:rPr>
              <w:t>59200元</w:t>
            </w:r>
            <w:r>
              <w:rPr>
                <w:rFonts w:hint="eastAsia" w:ascii="仿宋" w:hAnsi="仿宋" w:eastAsia="仿宋" w:cs="仿宋"/>
                <w:kern w:val="0"/>
                <w:sz w:val="30"/>
                <w:szCs w:val="30"/>
                <w:lang w:eastAsia="zh-CN" w:bidi="ar"/>
              </w:rPr>
              <w:t>）</w:t>
            </w:r>
            <w:r>
              <w:rPr>
                <w:rFonts w:hint="eastAsia" w:ascii="仿宋" w:hAnsi="仿宋" w:eastAsia="仿宋" w:cs="仿宋"/>
                <w:kern w:val="0"/>
                <w:sz w:val="30"/>
                <w:szCs w:val="30"/>
                <w:lang w:val="en-US" w:eastAsia="zh-CN" w:bidi="ar"/>
              </w:rPr>
              <w:t>组成。</w:t>
            </w:r>
          </w:p>
        </w:tc>
      </w:tr>
      <w:tr>
        <w:tblPrEx>
          <w:tblCellMar>
            <w:top w:w="0" w:type="dxa"/>
            <w:left w:w="108" w:type="dxa"/>
            <w:bottom w:w="0" w:type="dxa"/>
            <w:right w:w="108" w:type="dxa"/>
          </w:tblCellMar>
        </w:tblPrEx>
        <w:trPr>
          <w:cantSplit/>
          <w:trHeight w:val="942" w:hRule="atLeast"/>
        </w:trPr>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15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sz w:val="30"/>
                <w:szCs w:val="30"/>
              </w:rPr>
            </w:pPr>
            <w:r>
              <w:rPr>
                <w:rFonts w:hint="eastAsia" w:ascii="仿宋" w:hAnsi="仿宋" w:eastAsia="仿宋" w:cs="仿宋"/>
                <w:kern w:val="0"/>
                <w:sz w:val="30"/>
                <w:szCs w:val="30"/>
                <w:lang w:bidi="ar"/>
              </w:rPr>
              <w:t>珠玑院区室外养护</w:t>
            </w:r>
          </w:p>
        </w:tc>
        <w:tc>
          <w:tcPr>
            <w:tcW w:w="93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826"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c>
          <w:tcPr>
            <w:tcW w:w="1167"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r>
      <w:tr>
        <w:tblPrEx>
          <w:tblCellMar>
            <w:top w:w="0" w:type="dxa"/>
            <w:left w:w="108" w:type="dxa"/>
            <w:bottom w:w="0" w:type="dxa"/>
            <w:right w:w="108" w:type="dxa"/>
          </w:tblCellMar>
        </w:tblPrEx>
        <w:trPr>
          <w:cantSplit/>
          <w:trHeight w:val="1122" w:hRule="atLeast"/>
        </w:trPr>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15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sz w:val="30"/>
                <w:szCs w:val="30"/>
              </w:rPr>
            </w:pPr>
            <w:r>
              <w:rPr>
                <w:rFonts w:hint="eastAsia" w:ascii="仿宋" w:hAnsi="仿宋" w:eastAsia="仿宋" w:cs="仿宋"/>
                <w:kern w:val="0"/>
                <w:sz w:val="30"/>
                <w:szCs w:val="30"/>
                <w:lang w:bidi="ar"/>
              </w:rPr>
              <w:t>同德院区室外养护</w:t>
            </w:r>
          </w:p>
        </w:tc>
        <w:tc>
          <w:tcPr>
            <w:tcW w:w="93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826"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c>
          <w:tcPr>
            <w:tcW w:w="1167"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r>
      <w:tr>
        <w:tblPrEx>
          <w:tblCellMar>
            <w:top w:w="0" w:type="dxa"/>
            <w:left w:w="108" w:type="dxa"/>
            <w:bottom w:w="0" w:type="dxa"/>
            <w:right w:w="108" w:type="dxa"/>
          </w:tblCellMar>
        </w:tblPrEx>
        <w:trPr>
          <w:cantSplit/>
          <w:trHeight w:val="955" w:hRule="atLeast"/>
        </w:trPr>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15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sz w:val="30"/>
                <w:szCs w:val="30"/>
              </w:rPr>
            </w:pPr>
            <w:r>
              <w:rPr>
                <w:rFonts w:hint="eastAsia" w:ascii="仿宋" w:hAnsi="仿宋" w:eastAsia="仿宋" w:cs="仿宋"/>
                <w:kern w:val="0"/>
                <w:sz w:val="30"/>
                <w:szCs w:val="30"/>
                <w:lang w:bidi="ar"/>
              </w:rPr>
              <w:t>五羊门诊室外养护</w:t>
            </w:r>
          </w:p>
        </w:tc>
        <w:tc>
          <w:tcPr>
            <w:tcW w:w="93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826"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c>
          <w:tcPr>
            <w:tcW w:w="1167"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r>
      <w:tr>
        <w:tblPrEx>
          <w:tblCellMar>
            <w:top w:w="0" w:type="dxa"/>
            <w:left w:w="108" w:type="dxa"/>
            <w:bottom w:w="0" w:type="dxa"/>
            <w:right w:w="108" w:type="dxa"/>
          </w:tblCellMar>
        </w:tblPrEx>
        <w:trPr>
          <w:cantSplit/>
          <w:trHeight w:val="1061" w:hRule="atLeast"/>
        </w:trPr>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15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sz w:val="30"/>
                <w:szCs w:val="30"/>
              </w:rPr>
            </w:pPr>
            <w:r>
              <w:rPr>
                <w:rFonts w:hint="eastAsia" w:ascii="仿宋" w:hAnsi="仿宋" w:eastAsia="仿宋" w:cs="仿宋"/>
                <w:kern w:val="0"/>
                <w:sz w:val="30"/>
                <w:szCs w:val="30"/>
                <w:lang w:bidi="ar"/>
              </w:rPr>
              <w:t>制剂楼室外养护</w:t>
            </w:r>
          </w:p>
        </w:tc>
        <w:tc>
          <w:tcPr>
            <w:tcW w:w="93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826"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c>
          <w:tcPr>
            <w:tcW w:w="1167"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r>
      <w:tr>
        <w:tblPrEx>
          <w:tblCellMar>
            <w:top w:w="0" w:type="dxa"/>
            <w:left w:w="108" w:type="dxa"/>
            <w:bottom w:w="0" w:type="dxa"/>
            <w:right w:w="108" w:type="dxa"/>
          </w:tblCellMar>
        </w:tblPrEx>
        <w:trPr>
          <w:cantSplit/>
          <w:trHeight w:val="1050" w:hRule="atLeast"/>
        </w:trPr>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15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eastAsia" w:ascii="仿宋" w:hAnsi="仿宋" w:eastAsia="仿宋" w:cs="仿宋"/>
                <w:kern w:val="0"/>
                <w:sz w:val="30"/>
                <w:szCs w:val="30"/>
                <w:lang w:bidi="ar"/>
              </w:rPr>
            </w:pPr>
            <w:r>
              <w:rPr>
                <w:rFonts w:hint="eastAsia" w:ascii="仿宋" w:hAnsi="仿宋" w:eastAsia="仿宋" w:cs="仿宋"/>
                <w:kern w:val="0"/>
                <w:sz w:val="30"/>
                <w:szCs w:val="30"/>
                <w:lang w:bidi="ar"/>
              </w:rPr>
              <w:t>珠玑院区古树养护</w:t>
            </w:r>
          </w:p>
        </w:tc>
        <w:tc>
          <w:tcPr>
            <w:tcW w:w="93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仿宋" w:hAnsi="仿宋" w:eastAsia="仿宋" w:cs="仿宋"/>
                <w:sz w:val="30"/>
                <w:szCs w:val="30"/>
              </w:rPr>
            </w:pPr>
          </w:p>
        </w:tc>
        <w:tc>
          <w:tcPr>
            <w:tcW w:w="826"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c>
          <w:tcPr>
            <w:tcW w:w="1167"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r>
      <w:tr>
        <w:tblPrEx>
          <w:tblCellMar>
            <w:top w:w="0" w:type="dxa"/>
            <w:left w:w="108" w:type="dxa"/>
            <w:bottom w:w="0" w:type="dxa"/>
            <w:right w:w="108" w:type="dxa"/>
          </w:tblCellMar>
        </w:tblPrEx>
        <w:trPr>
          <w:cantSplit/>
          <w:trHeight w:val="1480" w:hRule="exact"/>
        </w:trPr>
        <w:tc>
          <w:tcPr>
            <w:tcW w:w="282"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hint="eastAsia" w:ascii="仿宋" w:hAnsi="仿宋" w:eastAsia="仿宋" w:cs="仿宋"/>
                <w:sz w:val="30"/>
                <w:szCs w:val="30"/>
              </w:rPr>
            </w:pPr>
            <w:r>
              <w:rPr>
                <w:rFonts w:hint="eastAsia" w:ascii="仿宋" w:hAnsi="仿宋" w:eastAsia="仿宋" w:cs="仿宋"/>
                <w:sz w:val="30"/>
                <w:szCs w:val="30"/>
              </w:rPr>
              <w:t>2</w:t>
            </w:r>
          </w:p>
        </w:tc>
        <w:tc>
          <w:tcPr>
            <w:tcW w:w="1786"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仿宋"/>
                <w:kern w:val="0"/>
                <w:sz w:val="30"/>
                <w:szCs w:val="30"/>
                <w:lang w:bidi="ar"/>
              </w:rPr>
            </w:pPr>
            <w:r>
              <w:rPr>
                <w:rFonts w:hint="eastAsia" w:ascii="仿宋" w:hAnsi="仿宋" w:eastAsia="仿宋" w:cs="仿宋"/>
                <w:kern w:val="0"/>
                <w:sz w:val="30"/>
                <w:szCs w:val="30"/>
                <w:lang w:val="en-US" w:eastAsia="zh-CN" w:bidi="ar"/>
              </w:rPr>
              <w:t>服务地点</w:t>
            </w:r>
            <w:r>
              <w:rPr>
                <w:rFonts w:hint="eastAsia" w:ascii="仿宋" w:hAnsi="仿宋" w:eastAsia="仿宋" w:cs="仿宋"/>
                <w:kern w:val="0"/>
                <w:sz w:val="30"/>
                <w:szCs w:val="30"/>
                <w:lang w:bidi="ar"/>
              </w:rPr>
              <w:t>租摆服务</w:t>
            </w:r>
          </w:p>
          <w:p>
            <w:pPr>
              <w:widowControl/>
              <w:spacing w:line="360" w:lineRule="auto"/>
              <w:jc w:val="center"/>
              <w:textAlignment w:val="center"/>
              <w:rPr>
                <w:rFonts w:hint="eastAsia" w:ascii="仿宋" w:hAnsi="仿宋" w:eastAsia="仿宋" w:cs="仿宋"/>
                <w:sz w:val="30"/>
                <w:szCs w:val="30"/>
              </w:rPr>
            </w:pPr>
            <w:r>
              <w:rPr>
                <w:rFonts w:hint="eastAsia" w:ascii="仿宋" w:hAnsi="仿宋" w:eastAsia="仿宋" w:cs="仿宋"/>
                <w:kern w:val="0"/>
                <w:sz w:val="30"/>
                <w:szCs w:val="30"/>
                <w:lang w:bidi="ar"/>
              </w:rPr>
              <w:t>（含年花造景）</w:t>
            </w:r>
          </w:p>
        </w:tc>
        <w:tc>
          <w:tcPr>
            <w:tcW w:w="93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316120.00</w:t>
            </w:r>
          </w:p>
        </w:tc>
        <w:tc>
          <w:tcPr>
            <w:tcW w:w="826"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c>
          <w:tcPr>
            <w:tcW w:w="1167"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仿宋" w:hAnsi="仿宋" w:eastAsia="仿宋" w:cs="仿宋"/>
                <w:sz w:val="30"/>
                <w:szCs w:val="30"/>
              </w:rPr>
            </w:pPr>
          </w:p>
        </w:tc>
      </w:tr>
    </w:tbl>
    <w:p>
      <w:pPr>
        <w:spacing w:line="360" w:lineRule="auto"/>
        <w:rPr>
          <w:rFonts w:hint="eastAsia" w:ascii="仿宋" w:hAnsi="仿宋" w:eastAsia="仿宋" w:cs="仿宋"/>
          <w:sz w:val="30"/>
          <w:szCs w:val="30"/>
        </w:rPr>
      </w:pPr>
    </w:p>
    <w:p>
      <w:pPr>
        <w:pStyle w:val="2"/>
        <w:rPr>
          <w:rFonts w:hint="eastAsia" w:ascii="仿宋" w:hAnsi="仿宋" w:eastAsia="仿宋" w:cs="仿宋"/>
          <w:sz w:val="30"/>
          <w:szCs w:val="30"/>
        </w:rPr>
      </w:pPr>
    </w:p>
    <w:p>
      <w:pPr>
        <w:pStyle w:val="2"/>
        <w:rPr>
          <w:rFonts w:hint="eastAsia" w:ascii="仿宋" w:hAnsi="仿宋" w:eastAsia="仿宋" w:cs="仿宋"/>
          <w:sz w:val="30"/>
          <w:szCs w:val="30"/>
        </w:rPr>
      </w:pPr>
    </w:p>
    <w:p>
      <w:pPr>
        <w:pStyle w:val="4"/>
        <w:widowControl/>
        <w:spacing w:line="360" w:lineRule="auto"/>
        <w:ind w:firstLine="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附件</w:t>
      </w:r>
      <w:r>
        <w:rPr>
          <w:rFonts w:hint="eastAsia" w:ascii="仿宋" w:hAnsi="仿宋" w:eastAsia="仿宋" w:cs="仿宋"/>
          <w:b/>
          <w:bCs/>
          <w:color w:val="000000"/>
          <w:sz w:val="30"/>
          <w:szCs w:val="30"/>
          <w:lang w:val="en-US" w:eastAsia="zh-CN"/>
        </w:rPr>
        <w:t>6</w:t>
      </w:r>
      <w:r>
        <w:rPr>
          <w:rFonts w:hint="eastAsia" w:ascii="仿宋" w:hAnsi="仿宋" w:eastAsia="仿宋" w:cs="仿宋"/>
          <w:b/>
          <w:bCs/>
          <w:color w:val="000000"/>
          <w:sz w:val="30"/>
          <w:szCs w:val="30"/>
        </w:rPr>
        <w:t>-1</w:t>
      </w:r>
    </w:p>
    <w:tbl>
      <w:tblPr>
        <w:tblStyle w:val="15"/>
        <w:tblW w:w="87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4"/>
        <w:gridCol w:w="2027"/>
        <w:gridCol w:w="1618"/>
        <w:gridCol w:w="754"/>
        <w:gridCol w:w="754"/>
        <w:gridCol w:w="889"/>
        <w:gridCol w:w="904"/>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72"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广州医科大学附属中医医院绿化月租摆数量明细表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内容</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规格（含盆）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限价（元/盆/月）</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报价（元/盆/月）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报价合计（元/24个月）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绿萝柱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大单杆发财树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1.7m-1.8m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幸福树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金心也门铁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扭纹铁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0.6-0.7m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白雪公主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肉桂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0.7-0.8m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炮仗花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0.6-0.7m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0.3-0.4m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如意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0.3-0.4m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黄金葛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0.3-0.4m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鸿运当头（火炬）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一品红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小单杆发财树（陶瓷盆）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墨兰（紫砂盆）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六株蝴蝶兰（陶瓷盆）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八株蝴蝶兰（陶瓷盆）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四株蝴蝶兰（陶瓷盆）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单株蝴蝶兰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大花蕙兰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0.6-0.7m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0.6-0.7m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水养富贵竹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虎皮兰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桌面花篮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0.2-0.3m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讲台花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节日花束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小叶紫檀盆景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月季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0.2-0.3m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满天星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杜鹃花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三角</w:t>
            </w:r>
            <w:bookmarkStart w:id="8" w:name="_GoBack"/>
            <w:bookmarkEnd w:id="8"/>
            <w:r>
              <w:rPr>
                <w:rFonts w:hint="eastAsia" w:ascii="仿宋" w:hAnsi="仿宋" w:eastAsia="仿宋" w:cs="仿宋"/>
                <w:i w:val="0"/>
                <w:iCs w:val="0"/>
                <w:color w:val="000000"/>
                <w:kern w:val="0"/>
                <w:sz w:val="20"/>
                <w:szCs w:val="20"/>
                <w:u w:val="none"/>
                <w:lang w:val="en-US" w:eastAsia="zh-CN" w:bidi="ar"/>
              </w:rPr>
              <w:t>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pStyle w:val="4"/>
        <w:widowControl/>
        <w:spacing w:line="360" w:lineRule="auto"/>
        <w:ind w:firstLine="0"/>
        <w:rPr>
          <w:rFonts w:hint="eastAsia" w:ascii="仿宋" w:hAnsi="仿宋" w:eastAsia="仿宋" w:cs="仿宋"/>
          <w:b/>
          <w:bCs/>
          <w:color w:val="000000"/>
          <w:sz w:val="30"/>
          <w:szCs w:val="30"/>
        </w:rPr>
      </w:pPr>
    </w:p>
    <w:p>
      <w:pPr>
        <w:pStyle w:val="4"/>
        <w:widowControl/>
        <w:spacing w:line="360" w:lineRule="auto"/>
        <w:ind w:firstLine="0"/>
        <w:rPr>
          <w:rFonts w:hint="eastAsia" w:ascii="仿宋" w:hAnsi="仿宋" w:eastAsia="仿宋" w:cs="仿宋"/>
          <w:b/>
          <w:bCs/>
          <w:color w:val="000000"/>
          <w:sz w:val="30"/>
          <w:szCs w:val="30"/>
        </w:rPr>
      </w:pPr>
    </w:p>
    <w:p>
      <w:pPr>
        <w:pStyle w:val="4"/>
        <w:widowControl/>
        <w:spacing w:line="360" w:lineRule="auto"/>
        <w:ind w:firstLine="0"/>
        <w:rPr>
          <w:rFonts w:hint="eastAsia" w:ascii="仿宋" w:hAnsi="仿宋" w:eastAsia="仿宋" w:cs="仿宋"/>
          <w:b/>
          <w:bCs/>
          <w:color w:val="000000"/>
          <w:sz w:val="30"/>
          <w:szCs w:val="30"/>
        </w:rPr>
      </w:pPr>
    </w:p>
    <w:p>
      <w:pPr>
        <w:pStyle w:val="4"/>
        <w:widowControl/>
        <w:spacing w:line="360" w:lineRule="auto"/>
        <w:ind w:firstLine="0"/>
        <w:rPr>
          <w:rFonts w:hint="eastAsia" w:ascii="仿宋" w:hAnsi="仿宋" w:eastAsia="仿宋" w:cs="仿宋"/>
          <w:b/>
          <w:bCs/>
          <w:color w:val="000000"/>
          <w:sz w:val="30"/>
          <w:szCs w:val="30"/>
        </w:rPr>
      </w:pPr>
    </w:p>
    <w:p>
      <w:pPr>
        <w:pStyle w:val="4"/>
        <w:widowControl/>
        <w:spacing w:line="360" w:lineRule="auto"/>
        <w:ind w:firstLine="0"/>
        <w:rPr>
          <w:rFonts w:hint="eastAsia" w:ascii="仿宋" w:hAnsi="仿宋" w:eastAsia="仿宋" w:cs="仿宋"/>
          <w:b/>
          <w:bCs/>
          <w:color w:val="000000"/>
          <w:sz w:val="30"/>
          <w:szCs w:val="30"/>
        </w:rPr>
      </w:pPr>
    </w:p>
    <w:p>
      <w:pPr>
        <w:pStyle w:val="4"/>
        <w:widowControl/>
        <w:spacing w:line="360" w:lineRule="auto"/>
        <w:ind w:firstLine="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附件</w:t>
      </w:r>
      <w:r>
        <w:rPr>
          <w:rFonts w:hint="eastAsia" w:ascii="仿宋" w:hAnsi="仿宋" w:eastAsia="仿宋" w:cs="仿宋"/>
          <w:b/>
          <w:bCs/>
          <w:color w:val="000000"/>
          <w:sz w:val="30"/>
          <w:szCs w:val="30"/>
          <w:lang w:val="en-US" w:eastAsia="zh-CN"/>
        </w:rPr>
        <w:t>6</w:t>
      </w:r>
      <w:r>
        <w:rPr>
          <w:rFonts w:hint="eastAsia" w:ascii="仿宋" w:hAnsi="仿宋" w:eastAsia="仿宋" w:cs="仿宋"/>
          <w:b/>
          <w:bCs/>
          <w:color w:val="000000"/>
          <w:sz w:val="30"/>
          <w:szCs w:val="30"/>
        </w:rPr>
        <w:t>-2</w:t>
      </w:r>
    </w:p>
    <w:p>
      <w:pPr>
        <w:pStyle w:val="4"/>
        <w:widowControl/>
        <w:spacing w:line="360" w:lineRule="auto"/>
        <w:ind w:firstLine="0"/>
        <w:rPr>
          <w:rFonts w:hint="eastAsia" w:ascii="仿宋" w:hAnsi="仿宋" w:eastAsia="仿宋" w:cs="仿宋"/>
          <w:b/>
          <w:bCs/>
          <w:color w:val="000000"/>
          <w:sz w:val="30"/>
          <w:szCs w:val="30"/>
        </w:rPr>
      </w:pPr>
    </w:p>
    <w:tbl>
      <w:tblPr>
        <w:tblStyle w:val="15"/>
        <w:tblW w:w="7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188"/>
        <w:gridCol w:w="1587"/>
        <w:gridCol w:w="880"/>
        <w:gridCol w:w="761"/>
        <w:gridCol w:w="996"/>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896"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广州医科大学附属中医医院绿化年租摆数量明细表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内容</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规格（含盆）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限价（元/盆）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报价合计（元/24个月）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假草皮</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200*2500cm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大桃花</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3.2-3.3m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中桃花</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2.7-2.8m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小桃花</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不限</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桌面桃花</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不限</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大年橘</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70-80盆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中年桔</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1.5-1.6m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小年桔</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0.4-0.5m</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23"/>
        <w:widowControl/>
        <w:spacing w:line="360" w:lineRule="auto"/>
        <w:jc w:val="center"/>
        <w:rPr>
          <w:rFonts w:ascii="仿宋" w:hAnsi="仿宋" w:eastAsia="仿宋" w:cs="仿宋"/>
          <w:sz w:val="30"/>
          <w:szCs w:val="30"/>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8768"/>
    <w:multiLevelType w:val="multilevel"/>
    <w:tmpl w:val="8B4E8768"/>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9C688819"/>
    <w:multiLevelType w:val="multilevel"/>
    <w:tmpl w:val="9C688819"/>
    <w:lvl w:ilvl="0" w:tentative="0">
      <w:start w:val="1"/>
      <w:numFmt w:val="chineseCounting"/>
      <w:suff w:val="nothing"/>
      <w:lvlText w:val="（%1）"/>
      <w:lvlJc w:val="left"/>
      <w:pPr>
        <w:ind w:left="851" w:firstLine="420"/>
      </w:pPr>
      <w:rPr>
        <w:rFonts w:hint="eastAsia" w:ascii="华文楷体" w:hAnsi="华文楷体" w:eastAsia="华文楷体" w:cs="华文楷体"/>
        <w:b/>
        <w:bCs/>
        <w:color w:val="auto"/>
        <w:sz w:val="28"/>
        <w:szCs w:val="28"/>
      </w:rPr>
    </w:lvl>
    <w:lvl w:ilvl="1" w:tentative="0">
      <w:start w:val="1"/>
      <w:numFmt w:val="decimal"/>
      <w:lvlText w:val="%2."/>
      <w:lvlJc w:val="left"/>
      <w:pPr>
        <w:tabs>
          <w:tab w:val="left" w:pos="2291"/>
        </w:tabs>
        <w:ind w:left="2291" w:hanging="360"/>
      </w:pPr>
    </w:lvl>
    <w:lvl w:ilvl="2" w:tentative="0">
      <w:start w:val="1"/>
      <w:numFmt w:val="decimal"/>
      <w:lvlText w:val="%3."/>
      <w:lvlJc w:val="left"/>
      <w:pPr>
        <w:tabs>
          <w:tab w:val="left" w:pos="3011"/>
        </w:tabs>
        <w:ind w:left="3011" w:hanging="360"/>
      </w:pPr>
    </w:lvl>
    <w:lvl w:ilvl="3" w:tentative="0">
      <w:start w:val="1"/>
      <w:numFmt w:val="decimal"/>
      <w:lvlText w:val="%4."/>
      <w:lvlJc w:val="left"/>
      <w:pPr>
        <w:tabs>
          <w:tab w:val="left" w:pos="3731"/>
        </w:tabs>
        <w:ind w:left="3731" w:hanging="360"/>
      </w:pPr>
    </w:lvl>
    <w:lvl w:ilvl="4" w:tentative="0">
      <w:start w:val="1"/>
      <w:numFmt w:val="decimal"/>
      <w:lvlText w:val="%5."/>
      <w:lvlJc w:val="left"/>
      <w:pPr>
        <w:tabs>
          <w:tab w:val="left" w:pos="4451"/>
        </w:tabs>
        <w:ind w:left="4451" w:hanging="360"/>
      </w:pPr>
    </w:lvl>
    <w:lvl w:ilvl="5" w:tentative="0">
      <w:start w:val="1"/>
      <w:numFmt w:val="decimal"/>
      <w:lvlText w:val="%6."/>
      <w:lvlJc w:val="left"/>
      <w:pPr>
        <w:tabs>
          <w:tab w:val="left" w:pos="5171"/>
        </w:tabs>
        <w:ind w:left="5171" w:hanging="360"/>
      </w:pPr>
    </w:lvl>
    <w:lvl w:ilvl="6" w:tentative="0">
      <w:start w:val="1"/>
      <w:numFmt w:val="decimal"/>
      <w:lvlText w:val="%7."/>
      <w:lvlJc w:val="left"/>
      <w:pPr>
        <w:tabs>
          <w:tab w:val="left" w:pos="5891"/>
        </w:tabs>
        <w:ind w:left="5891" w:hanging="360"/>
      </w:pPr>
    </w:lvl>
    <w:lvl w:ilvl="7" w:tentative="0">
      <w:start w:val="1"/>
      <w:numFmt w:val="decimal"/>
      <w:lvlText w:val="%8."/>
      <w:lvlJc w:val="left"/>
      <w:pPr>
        <w:tabs>
          <w:tab w:val="left" w:pos="6611"/>
        </w:tabs>
        <w:ind w:left="6611" w:hanging="360"/>
      </w:pPr>
    </w:lvl>
    <w:lvl w:ilvl="8" w:tentative="0">
      <w:start w:val="1"/>
      <w:numFmt w:val="decimal"/>
      <w:lvlText w:val="%9."/>
      <w:lvlJc w:val="left"/>
      <w:pPr>
        <w:tabs>
          <w:tab w:val="left" w:pos="7331"/>
        </w:tabs>
        <w:ind w:left="7331" w:hanging="360"/>
      </w:pPr>
    </w:lvl>
  </w:abstractNum>
  <w:abstractNum w:abstractNumId="2">
    <w:nsid w:val="AA8F86DE"/>
    <w:multiLevelType w:val="multilevel"/>
    <w:tmpl w:val="AA8F86DE"/>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D95E6B7E"/>
    <w:multiLevelType w:val="multilevel"/>
    <w:tmpl w:val="D95E6B7E"/>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E4F5CB10"/>
    <w:multiLevelType w:val="multilevel"/>
    <w:tmpl w:val="E4F5CB10"/>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F8CF0A51"/>
    <w:multiLevelType w:val="multilevel"/>
    <w:tmpl w:val="F8CF0A51"/>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59BC411"/>
    <w:multiLevelType w:val="multilevel"/>
    <w:tmpl w:val="059BC41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D3B9FB4"/>
    <w:multiLevelType w:val="multilevel"/>
    <w:tmpl w:val="2D3B9FB4"/>
    <w:lvl w:ilvl="0" w:tentative="0">
      <w:start w:val="1"/>
      <w:numFmt w:val="decimal"/>
      <w:suff w:val="nothing"/>
      <w:lvlText w:val="%1．"/>
      <w:lvlJc w:val="left"/>
      <w:pPr>
        <w:ind w:left="0" w:firstLine="400"/>
      </w:pPr>
      <w:rPr>
        <w:rFonts w:hint="eastAsia" w:ascii="宋体" w:hAnsi="宋体" w:eastAsia="宋体" w:cs="宋体"/>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FE31E3C"/>
    <w:multiLevelType w:val="multilevel"/>
    <w:tmpl w:val="3FE31E3C"/>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33D2FDB"/>
    <w:multiLevelType w:val="multilevel"/>
    <w:tmpl w:val="733D2FDB"/>
    <w:lvl w:ilvl="0" w:tentative="0">
      <w:start w:val="1"/>
      <w:numFmt w:val="japaneseCounting"/>
      <w:lvlText w:val="（%1）"/>
      <w:lvlJc w:val="left"/>
      <w:pPr>
        <w:ind w:left="1591" w:hanging="1080"/>
      </w:pPr>
      <w:rPr>
        <w:rFonts w:hint="default"/>
      </w:rPr>
    </w:lvl>
    <w:lvl w:ilvl="1" w:tentative="0">
      <w:start w:val="1"/>
      <w:numFmt w:val="decimal"/>
      <w:lvlText w:val="%2、"/>
      <w:lvlJc w:val="left"/>
      <w:pPr>
        <w:ind w:left="1671" w:hanging="720"/>
      </w:pPr>
      <w:rPr>
        <w:rFonts w:hint="default"/>
      </w:rPr>
    </w:lvl>
    <w:lvl w:ilvl="2" w:tentative="0">
      <w:start w:val="1"/>
      <w:numFmt w:val="lowerRoman"/>
      <w:lvlText w:val="%3."/>
      <w:lvlJc w:val="right"/>
      <w:pPr>
        <w:ind w:left="1831" w:hanging="440"/>
      </w:pPr>
    </w:lvl>
    <w:lvl w:ilvl="3" w:tentative="0">
      <w:start w:val="1"/>
      <w:numFmt w:val="decimal"/>
      <w:lvlText w:val="%4."/>
      <w:lvlJc w:val="left"/>
      <w:pPr>
        <w:ind w:left="2271" w:hanging="440"/>
      </w:pPr>
    </w:lvl>
    <w:lvl w:ilvl="4" w:tentative="0">
      <w:start w:val="1"/>
      <w:numFmt w:val="lowerLetter"/>
      <w:lvlText w:val="%5)"/>
      <w:lvlJc w:val="left"/>
      <w:pPr>
        <w:ind w:left="2711" w:hanging="440"/>
      </w:pPr>
    </w:lvl>
    <w:lvl w:ilvl="5" w:tentative="0">
      <w:start w:val="1"/>
      <w:numFmt w:val="lowerRoman"/>
      <w:lvlText w:val="%6."/>
      <w:lvlJc w:val="right"/>
      <w:pPr>
        <w:ind w:left="3151" w:hanging="440"/>
      </w:pPr>
    </w:lvl>
    <w:lvl w:ilvl="6" w:tentative="0">
      <w:start w:val="1"/>
      <w:numFmt w:val="decimal"/>
      <w:lvlText w:val="%7."/>
      <w:lvlJc w:val="left"/>
      <w:pPr>
        <w:ind w:left="3591" w:hanging="440"/>
      </w:pPr>
    </w:lvl>
    <w:lvl w:ilvl="7" w:tentative="0">
      <w:start w:val="1"/>
      <w:numFmt w:val="lowerLetter"/>
      <w:lvlText w:val="%8)"/>
      <w:lvlJc w:val="left"/>
      <w:pPr>
        <w:ind w:left="4031" w:hanging="440"/>
      </w:pPr>
    </w:lvl>
    <w:lvl w:ilvl="8" w:tentative="0">
      <w:start w:val="1"/>
      <w:numFmt w:val="lowerRoman"/>
      <w:lvlText w:val="%9."/>
      <w:lvlJc w:val="right"/>
      <w:pPr>
        <w:ind w:left="4471" w:hanging="440"/>
      </w:pPr>
    </w:lvl>
  </w:abstractNum>
  <w:abstractNum w:abstractNumId="10">
    <w:nsid w:val="77B28F24"/>
    <w:multiLevelType w:val="multilevel"/>
    <w:tmpl w:val="77B28F24"/>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5"/>
  </w:num>
  <w:num w:numId="3">
    <w:abstractNumId w:val="7"/>
  </w:num>
  <w:num w:numId="4">
    <w:abstractNumId w:val="0"/>
  </w:num>
  <w:num w:numId="5">
    <w:abstractNumId w:val="9"/>
  </w:num>
  <w:num w:numId="6">
    <w:abstractNumId w:val="8"/>
  </w:num>
  <w:num w:numId="7">
    <w:abstractNumId w:val="2"/>
  </w:num>
  <w:num w:numId="8">
    <w:abstractNumId w:val="3"/>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4NWU4NGM4NDRkYWQzOTVkYTkyZjA0MzBmNTU2ZTYifQ=="/>
  </w:docVars>
  <w:rsids>
    <w:rsidRoot w:val="286D0C20"/>
    <w:rsid w:val="00623D0E"/>
    <w:rsid w:val="00625735"/>
    <w:rsid w:val="00864957"/>
    <w:rsid w:val="00F35ED3"/>
    <w:rsid w:val="00F62914"/>
    <w:rsid w:val="00FF05AB"/>
    <w:rsid w:val="02003400"/>
    <w:rsid w:val="0213766F"/>
    <w:rsid w:val="05746676"/>
    <w:rsid w:val="071B1645"/>
    <w:rsid w:val="08EC0C19"/>
    <w:rsid w:val="0AAC0660"/>
    <w:rsid w:val="18A84267"/>
    <w:rsid w:val="1D6923E1"/>
    <w:rsid w:val="286D0C20"/>
    <w:rsid w:val="30907F59"/>
    <w:rsid w:val="3A2A6F87"/>
    <w:rsid w:val="416525BC"/>
    <w:rsid w:val="4870089F"/>
    <w:rsid w:val="543F4483"/>
    <w:rsid w:val="584A0A6A"/>
    <w:rsid w:val="5A8E6CD0"/>
    <w:rsid w:val="6C3876AF"/>
    <w:rsid w:val="6CF2763A"/>
    <w:rsid w:val="70237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2"/>
    <w:qFormat/>
    <w:uiPriority w:val="0"/>
    <w:pPr>
      <w:keepNext/>
      <w:keepLines/>
      <w:spacing w:before="340" w:after="330" w:line="576" w:lineRule="auto"/>
      <w:outlineLvl w:val="0"/>
    </w:pPr>
    <w:rPr>
      <w:b/>
      <w:kern w:val="44"/>
      <w:sz w:val="44"/>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unhideWhenUsed/>
    <w:qFormat/>
    <w:uiPriority w:val="99"/>
    <w:pPr>
      <w:ind w:firstLine="420" w:firstLineChars="200"/>
    </w:pPr>
  </w:style>
  <w:style w:type="paragraph" w:styleId="4">
    <w:name w:val="Normal Indent"/>
    <w:basedOn w:val="1"/>
    <w:qFormat/>
    <w:uiPriority w:val="0"/>
    <w:pPr>
      <w:ind w:firstLine="420"/>
    </w:pPr>
    <w:rPr>
      <w:rFonts w:ascii="Times New Roman" w:hAnsi="Times New Roman" w:eastAsia="宋体" w:cs="Times New Roman"/>
    </w:rPr>
  </w:style>
  <w:style w:type="paragraph" w:styleId="5">
    <w:name w:val="annotation text"/>
    <w:basedOn w:val="1"/>
    <w:link w:val="25"/>
    <w:qFormat/>
    <w:uiPriority w:val="0"/>
    <w:pPr>
      <w:jc w:val="left"/>
    </w:pPr>
  </w:style>
  <w:style w:type="paragraph" w:styleId="6">
    <w:name w:val="Body Text"/>
    <w:basedOn w:val="1"/>
    <w:link w:val="24"/>
    <w:qFormat/>
    <w:uiPriority w:val="0"/>
    <w:pPr>
      <w:spacing w:after="120"/>
    </w:pPr>
  </w:style>
  <w:style w:type="paragraph" w:styleId="7">
    <w:name w:val="Body Text Indent"/>
    <w:basedOn w:val="1"/>
    <w:link w:val="21"/>
    <w:qFormat/>
    <w:uiPriority w:val="0"/>
    <w:pPr>
      <w:spacing w:after="120"/>
      <w:ind w:left="420" w:leftChars="200"/>
    </w:pPr>
  </w:style>
  <w:style w:type="paragraph" w:styleId="8">
    <w:name w:val="Body Text Indent 2"/>
    <w:basedOn w:val="1"/>
    <w:link w:val="36"/>
    <w:qFormat/>
    <w:uiPriority w:val="0"/>
    <w:pPr>
      <w:spacing w:after="120" w:line="480" w:lineRule="auto"/>
      <w:ind w:left="420" w:leftChars="200"/>
    </w:pPr>
  </w:style>
  <w:style w:type="paragraph" w:styleId="9">
    <w:name w:val="footer"/>
    <w:basedOn w:val="1"/>
    <w:link w:val="34"/>
    <w:qFormat/>
    <w:uiPriority w:val="0"/>
    <w:pPr>
      <w:tabs>
        <w:tab w:val="center" w:pos="4153"/>
        <w:tab w:val="right" w:pos="8306"/>
      </w:tabs>
      <w:snapToGrid w:val="0"/>
      <w:jc w:val="left"/>
    </w:pPr>
    <w:rPr>
      <w:sz w:val="18"/>
    </w:rPr>
  </w:style>
  <w:style w:type="paragraph" w:styleId="10">
    <w:name w:val="header"/>
    <w:basedOn w:val="1"/>
    <w:link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ascii="Calibri" w:hAnsi="Calibri" w:eastAsia="宋体" w:cs="Times New Roman"/>
      <w:kern w:val="0"/>
      <w:sz w:val="24"/>
    </w:rPr>
  </w:style>
  <w:style w:type="paragraph" w:styleId="12">
    <w:name w:val="Title"/>
    <w:basedOn w:val="1"/>
    <w:link w:val="33"/>
    <w:qFormat/>
    <w:uiPriority w:val="0"/>
    <w:pPr>
      <w:spacing w:before="240" w:after="60"/>
      <w:jc w:val="center"/>
      <w:outlineLvl w:val="0"/>
    </w:pPr>
    <w:rPr>
      <w:rFonts w:ascii="Arial" w:hAnsi="Arial"/>
      <w:b/>
      <w:sz w:val="32"/>
    </w:rPr>
  </w:style>
  <w:style w:type="paragraph" w:styleId="13">
    <w:name w:val="annotation subject"/>
    <w:basedOn w:val="5"/>
    <w:next w:val="5"/>
    <w:link w:val="28"/>
    <w:qFormat/>
    <w:uiPriority w:val="0"/>
    <w:rPr>
      <w:b/>
    </w:rPr>
  </w:style>
  <w:style w:type="paragraph" w:styleId="14">
    <w:name w:val="Body Text First Indent 2"/>
    <w:basedOn w:val="7"/>
    <w:link w:val="20"/>
    <w:qFormat/>
    <w:uiPriority w:val="0"/>
    <w:pPr>
      <w:ind w:firstLine="420" w:firstLineChars="200"/>
    </w:pPr>
    <w:rPr>
      <w:rFonts w:ascii="Calibri" w:hAnsi="Calibri" w:eastAsia="宋体" w:cs="Times New Roman"/>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character" w:customStyle="1" w:styleId="19">
    <w:name w:val="font41"/>
    <w:basedOn w:val="16"/>
    <w:qFormat/>
    <w:uiPriority w:val="0"/>
    <w:rPr>
      <w:rFonts w:hint="default" w:ascii="Times New Roman" w:hAnsi="Times New Roman" w:cs="Times New Roman"/>
      <w:color w:val="000000"/>
      <w:sz w:val="28"/>
      <w:szCs w:val="28"/>
      <w:u w:val="none"/>
    </w:rPr>
  </w:style>
  <w:style w:type="character" w:customStyle="1" w:styleId="20">
    <w:name w:val="正文文本首行缩进 2 字符"/>
    <w:basedOn w:val="21"/>
    <w:link w:val="14"/>
    <w:qFormat/>
    <w:uiPriority w:val="0"/>
    <w:rPr>
      <w:rFonts w:hint="default" w:ascii="Calibri" w:hAnsi="Calibri" w:eastAsia="宋体" w:cs="Times New Roman"/>
      <w:kern w:val="2"/>
      <w:sz w:val="21"/>
      <w:szCs w:val="24"/>
    </w:rPr>
  </w:style>
  <w:style w:type="character" w:customStyle="1" w:styleId="21">
    <w:name w:val="正文文本缩进 字符"/>
    <w:basedOn w:val="16"/>
    <w:link w:val="7"/>
    <w:qFormat/>
    <w:uiPriority w:val="0"/>
    <w:rPr>
      <w:rFonts w:hint="default" w:ascii="Calibri" w:hAnsi="Calibri" w:eastAsia="宋体" w:cs="Times New Roman"/>
      <w:kern w:val="2"/>
      <w:sz w:val="21"/>
      <w:szCs w:val="24"/>
    </w:rPr>
  </w:style>
  <w:style w:type="character" w:customStyle="1" w:styleId="22">
    <w:name w:val="font31"/>
    <w:basedOn w:val="16"/>
    <w:qFormat/>
    <w:uiPriority w:val="0"/>
    <w:rPr>
      <w:rFonts w:hint="eastAsia" w:ascii="楷体_GB2312" w:eastAsia="楷体_GB2312" w:cs="楷体_GB2312"/>
      <w:b/>
      <w:bCs/>
      <w:color w:val="000000"/>
      <w:sz w:val="28"/>
      <w:szCs w:val="28"/>
      <w:u w:val="none"/>
    </w:rPr>
  </w:style>
  <w:style w:type="paragraph" w:customStyle="1" w:styleId="23">
    <w:name w:val="Default"/>
    <w:basedOn w:val="1"/>
    <w:qFormat/>
    <w:uiPriority w:val="0"/>
    <w:pPr>
      <w:autoSpaceDE w:val="0"/>
      <w:autoSpaceDN w:val="0"/>
      <w:adjustRightInd w:val="0"/>
      <w:jc w:val="left"/>
    </w:pPr>
    <w:rPr>
      <w:rFonts w:hint="eastAsia" w:ascii="宋体" w:hAnsi="Times New Roman" w:eastAsia="黑体" w:cs="Times New Roman"/>
      <w:color w:val="000000"/>
      <w:kern w:val="0"/>
      <w:sz w:val="24"/>
      <w:szCs w:val="22"/>
    </w:rPr>
  </w:style>
  <w:style w:type="character" w:customStyle="1" w:styleId="24">
    <w:name w:val="正文文本 字符"/>
    <w:basedOn w:val="16"/>
    <w:link w:val="6"/>
    <w:qFormat/>
    <w:uiPriority w:val="0"/>
    <w:rPr>
      <w:rFonts w:hint="default" w:ascii="Calibri" w:hAnsi="Calibri" w:eastAsia="宋体" w:cs="Times New Roman"/>
      <w:kern w:val="2"/>
      <w:sz w:val="21"/>
      <w:szCs w:val="24"/>
    </w:rPr>
  </w:style>
  <w:style w:type="character" w:customStyle="1" w:styleId="25">
    <w:name w:val="批注文字 字符"/>
    <w:basedOn w:val="16"/>
    <w:link w:val="5"/>
    <w:qFormat/>
    <w:uiPriority w:val="0"/>
    <w:rPr>
      <w:rFonts w:hint="default" w:ascii="Calibri" w:hAnsi="Calibri" w:eastAsia="宋体" w:cs="Times New Roman"/>
      <w:kern w:val="2"/>
      <w:sz w:val="21"/>
      <w:szCs w:val="24"/>
    </w:rPr>
  </w:style>
  <w:style w:type="character" w:customStyle="1" w:styleId="26">
    <w:name w:val="页眉 字符"/>
    <w:basedOn w:val="16"/>
    <w:link w:val="10"/>
    <w:qFormat/>
    <w:uiPriority w:val="0"/>
    <w:rPr>
      <w:rFonts w:hint="default" w:ascii="Calibri" w:hAnsi="Calibri" w:eastAsia="宋体" w:cs="Times New Roman"/>
      <w:kern w:val="2"/>
      <w:sz w:val="18"/>
      <w:szCs w:val="18"/>
    </w:rPr>
  </w:style>
  <w:style w:type="character" w:customStyle="1" w:styleId="27">
    <w:name w:val="font21"/>
    <w:basedOn w:val="16"/>
    <w:qFormat/>
    <w:uiPriority w:val="0"/>
    <w:rPr>
      <w:rFonts w:hint="eastAsia" w:ascii="宋体" w:hAnsi="宋体" w:eastAsia="宋体" w:cs="宋体"/>
      <w:color w:val="000000"/>
      <w:sz w:val="28"/>
      <w:szCs w:val="28"/>
      <w:u w:val="none"/>
    </w:rPr>
  </w:style>
  <w:style w:type="character" w:customStyle="1" w:styleId="28">
    <w:name w:val="批注主题 字符"/>
    <w:basedOn w:val="25"/>
    <w:link w:val="13"/>
    <w:qFormat/>
    <w:uiPriority w:val="0"/>
    <w:rPr>
      <w:rFonts w:hint="default" w:ascii="Calibri" w:hAnsi="Calibri" w:eastAsia="宋体" w:cs="Times New Roman"/>
      <w:b/>
      <w:bCs/>
      <w:kern w:val="2"/>
      <w:sz w:val="21"/>
      <w:szCs w:val="24"/>
    </w:rPr>
  </w:style>
  <w:style w:type="character" w:customStyle="1" w:styleId="29">
    <w:name w:val="font61"/>
    <w:basedOn w:val="16"/>
    <w:qFormat/>
    <w:uiPriority w:val="0"/>
    <w:rPr>
      <w:rFonts w:hint="eastAsia" w:ascii="宋体" w:hAnsi="宋体" w:eastAsia="宋体" w:cs="宋体"/>
      <w:color w:val="000000"/>
      <w:sz w:val="20"/>
      <w:szCs w:val="20"/>
      <w:u w:val="none"/>
    </w:rPr>
  </w:style>
  <w:style w:type="character" w:customStyle="1" w:styleId="30">
    <w:name w:val="正文文本首行缩进 字符"/>
    <w:basedOn w:val="24"/>
    <w:qFormat/>
    <w:uiPriority w:val="0"/>
    <w:rPr>
      <w:rFonts w:hint="default" w:ascii="Calibri" w:hAnsi="Calibri" w:eastAsia="宋体" w:cs="Times New Roman"/>
      <w:kern w:val="2"/>
      <w:sz w:val="21"/>
      <w:szCs w:val="24"/>
    </w:rPr>
  </w:style>
  <w:style w:type="paragraph" w:customStyle="1" w:styleId="31">
    <w:name w:val="null3"/>
    <w:basedOn w:val="1"/>
    <w:qFormat/>
    <w:uiPriority w:val="0"/>
    <w:pPr>
      <w:widowControl/>
      <w:jc w:val="left"/>
    </w:pPr>
    <w:rPr>
      <w:rFonts w:ascii="Calibri" w:hAnsi="Calibri" w:eastAsia="宋体" w:cs="Times New Roman"/>
      <w:kern w:val="0"/>
      <w:sz w:val="20"/>
      <w:szCs w:val="20"/>
    </w:rPr>
  </w:style>
  <w:style w:type="character" w:customStyle="1" w:styleId="32">
    <w:name w:val="标题 1 字符"/>
    <w:basedOn w:val="16"/>
    <w:link w:val="3"/>
    <w:qFormat/>
    <w:uiPriority w:val="0"/>
    <w:rPr>
      <w:b/>
      <w:bCs/>
      <w:kern w:val="44"/>
      <w:sz w:val="36"/>
      <w:szCs w:val="36"/>
    </w:rPr>
  </w:style>
  <w:style w:type="character" w:customStyle="1" w:styleId="33">
    <w:name w:val="标题 字符"/>
    <w:basedOn w:val="16"/>
    <w:link w:val="12"/>
    <w:qFormat/>
    <w:uiPriority w:val="0"/>
    <w:rPr>
      <w:rFonts w:ascii="Arial" w:hAnsi="Arial" w:cs="Arial"/>
      <w:b/>
      <w:kern w:val="2"/>
      <w:sz w:val="44"/>
      <w:szCs w:val="24"/>
    </w:rPr>
  </w:style>
  <w:style w:type="character" w:customStyle="1" w:styleId="34">
    <w:name w:val="页脚 字符"/>
    <w:basedOn w:val="16"/>
    <w:link w:val="9"/>
    <w:qFormat/>
    <w:uiPriority w:val="0"/>
    <w:rPr>
      <w:rFonts w:hint="default" w:ascii="Calibri" w:hAnsi="Calibri" w:eastAsia="宋体" w:cs="Times New Roman"/>
      <w:kern w:val="2"/>
      <w:sz w:val="18"/>
      <w:szCs w:val="18"/>
    </w:rPr>
  </w:style>
  <w:style w:type="character" w:customStyle="1" w:styleId="35">
    <w:name w:val="font51"/>
    <w:basedOn w:val="16"/>
    <w:qFormat/>
    <w:uiPriority w:val="0"/>
    <w:rPr>
      <w:rFonts w:hint="eastAsia" w:ascii="宋体" w:hAnsi="宋体" w:eastAsia="宋体" w:cs="宋体"/>
      <w:color w:val="000000"/>
      <w:sz w:val="20"/>
      <w:szCs w:val="20"/>
      <w:u w:val="none"/>
    </w:rPr>
  </w:style>
  <w:style w:type="character" w:customStyle="1" w:styleId="36">
    <w:name w:val="正文文本缩进 2 字符"/>
    <w:basedOn w:val="16"/>
    <w:link w:val="8"/>
    <w:qFormat/>
    <w:uiPriority w:val="0"/>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C9E9-8EE4-4B89-ACA4-30ECA50E32E7}">
  <ds:schemaRefs/>
</ds:datastoreItem>
</file>

<file path=docProps/app.xml><?xml version="1.0" encoding="utf-8"?>
<Properties xmlns="http://schemas.openxmlformats.org/officeDocument/2006/extended-properties" xmlns:vt="http://schemas.openxmlformats.org/officeDocument/2006/docPropsVTypes">
  <Template>Normal</Template>
  <Pages>37</Pages>
  <Words>14510</Words>
  <Characters>15353</Characters>
  <Lines>1459</Lines>
  <Paragraphs>1493</Paragraphs>
  <TotalTime>10</TotalTime>
  <ScaleCrop>false</ScaleCrop>
  <LinksUpToDate>false</LinksUpToDate>
  <CharactersWithSpaces>15367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2025-12-28T08:29:00Z</dcterms:created>
  <dc:creator>卢婧茹</dc:creator>
  <cp:lastModifiedBy>Administrator</cp:lastModifiedBy>
  <dcterms:modified xsi:type="dcterms:W3CDTF">2026-02-02T09:13:49Z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EF290838100442E785F153E4E45B6CE5_13</vt:lpwstr>
  </property>
  <property fmtid="{D5CDD505-2E9C-101B-9397-08002B2CF9AE}" pid="4" name="KSOTemplateDocerSaveRecord">
    <vt:lpwstr>eyJoZGlkIjoiZTk0YTI1NmJhYzE2MmU2OTk3MTU1YjlhMWVkYjlhZjUiLCJ1c2VySWQiOiIxMjE0NjA2NDY2In0=</vt:lpwstr>
  </property>
</Properties>
</file>